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1735" w:lineRule="exact"/>
        <w:ind w:left="106" w:right="147" w:firstLine="0"/>
        <w:jc w:val="both"/>
        <w:rPr>
          <w:rFonts w:hint="eastAsia" w:ascii="方正小标宋简体" w:hAnsi="方正小标宋简体" w:eastAsia="方正小标宋简体" w:cs="宋体"/>
          <w:b/>
          <w:bCs/>
          <w:color w:val="FF0000"/>
          <w:kern w:val="0"/>
          <w:sz w:val="120"/>
          <w:szCs w:val="120"/>
          <w:lang w:val="en-US" w:eastAsia="zh-CN" w:bidi="ar-SA"/>
        </w:rPr>
      </w:pPr>
      <w:r>
        <w:rPr>
          <w:rFonts w:hint="eastAsia" w:ascii="方正小标宋简体" w:hAnsi="方正小标宋简体" w:eastAsia="方正小标宋简体" w:cs="宋体"/>
          <w:color w:val="FF0000"/>
          <w:spacing w:val="1"/>
          <w:w w:val="71"/>
          <w:kern w:val="0"/>
          <w:sz w:val="120"/>
          <w:szCs w:val="120"/>
          <w:fitText w:val="8520" w:id="272179688"/>
          <w:lang w:val="en-US" w:eastAsia="zh-CN" w:bidi="ar-SA"/>
        </w:rPr>
        <w:t>共青团吉首大学委员</w:t>
      </w:r>
      <w:r>
        <w:rPr>
          <w:rFonts w:hint="eastAsia" w:ascii="方正小标宋简体" w:hAnsi="方正小标宋简体" w:eastAsia="方正小标宋简体" w:cs="宋体"/>
          <w:color w:val="FF0000"/>
          <w:spacing w:val="32"/>
          <w:w w:val="71"/>
          <w:kern w:val="0"/>
          <w:sz w:val="120"/>
          <w:szCs w:val="120"/>
          <w:fitText w:val="8520" w:id="272179688"/>
          <w:lang w:val="en-US" w:eastAsia="zh-CN" w:bidi="ar-SA"/>
        </w:rPr>
        <w:t>会</w:t>
      </w:r>
    </w:p>
    <w:p>
      <w:pPr>
        <w:keepNext w:val="0"/>
        <w:keepLines w:val="0"/>
        <w:pageBreakBefore w:val="0"/>
        <w:widowControl w:val="0"/>
        <w:tabs>
          <w:tab w:val="left" w:pos="2800"/>
          <w:tab w:val="center" w:pos="4213"/>
        </w:tabs>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b/>
          <w:bCs/>
          <w:kern w:val="2"/>
          <w:sz w:val="32"/>
          <w:szCs w:val="32"/>
          <w:lang w:val="en-US" w:eastAsia="zh-CN"/>
        </w:rPr>
      </w:pPr>
      <w:r>
        <w:rPr>
          <w:rFonts w:hint="eastAsia" w:ascii="仿宋" w:hAnsi="仿宋" w:eastAsia="仿宋" w:cs="仿宋"/>
          <w:b/>
          <w:bCs/>
          <w:kern w:val="2"/>
          <w:sz w:val="32"/>
          <w:szCs w:val="32"/>
          <w:lang w:val="zh-CN"/>
        </w:rPr>
        <mc:AlternateContent>
          <mc:Choice Requires="wps">
            <w:drawing>
              <wp:anchor distT="0" distB="0" distL="114300" distR="114300" simplePos="0" relativeHeight="251662336" behindDoc="0" locked="0" layoutInCell="1" allowOverlap="1">
                <wp:simplePos x="0" y="0"/>
                <wp:positionH relativeFrom="column">
                  <wp:posOffset>2381250</wp:posOffset>
                </wp:positionH>
                <wp:positionV relativeFrom="paragraph">
                  <wp:posOffset>382905</wp:posOffset>
                </wp:positionV>
                <wp:extent cx="457200" cy="41084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200" cy="410845"/>
                        </a:xfrm>
                        <a:prstGeom prst="rect">
                          <a:avLst/>
                        </a:prstGeom>
                        <a:noFill/>
                        <a:ln>
                          <a:noFill/>
                        </a:ln>
                        <a:effectLst/>
                      </wps:spPr>
                      <wps:txbx>
                        <w:txbxContent>
                          <w:p>
                            <w:pPr>
                              <w:jc w:val="center"/>
                              <w:rPr>
                                <w:rFonts w:ascii="仿宋_GB2312" w:eastAsia="仿宋_GB2312"/>
                                <w:color w:val="FF0000"/>
                                <w:sz w:val="48"/>
                                <w:szCs w:val="48"/>
                              </w:rPr>
                            </w:pPr>
                            <w:r>
                              <w:rPr>
                                <w:rFonts w:hint="eastAsia" w:ascii="仿宋_GB2312" w:eastAsia="仿宋_GB2312"/>
                                <w:color w:val="FF0000"/>
                                <w:sz w:val="48"/>
                                <w:szCs w:val="48"/>
                              </w:rPr>
                              <w:t>★</w:t>
                            </w:r>
                          </w:p>
                        </w:txbxContent>
                      </wps:txbx>
                      <wps:bodyPr upright="1"/>
                    </wps:wsp>
                  </a:graphicData>
                </a:graphic>
              </wp:anchor>
            </w:drawing>
          </mc:Choice>
          <mc:Fallback>
            <w:pict>
              <v:shape id="_x0000_s1026" o:spid="_x0000_s1026" o:spt="202" type="#_x0000_t202" style="position:absolute;left:0pt;margin-left:187.5pt;margin-top:30.15pt;height:32.35pt;width:36pt;z-index:251662336;mso-width-relative:page;mso-height-relative:page;" filled="f" stroked="f" coordsize="21600,21600" o:gfxdata="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PXdJ&#10;WNcAAAAKAQAADwAAAAAAAAABACAAAAAiAAAAZHJzL2Rvd25yZXYueG1sUEsBAhQAFAAAAAgAh07i&#10;QJ0Op/OxAQAAXQMAAA4AAAAAAAAAAQAgAAAAJgEAAGRycy9lMm9Eb2MueG1sUEsFBgAAAAAGAAYA&#10;WQEAAEkFAAAAAA==&#10;">
                <v:fill on="f" focussize="0,0"/>
                <v:stroke on="f"/>
                <v:imagedata o:title=""/>
                <o:lock v:ext="edit" aspectratio="f"/>
                <v:textbox>
                  <w:txbxContent>
                    <w:p>
                      <w:pPr>
                        <w:jc w:val="center"/>
                        <w:rPr>
                          <w:rFonts w:ascii="仿宋_GB2312" w:eastAsia="仿宋_GB2312"/>
                          <w:color w:val="FF0000"/>
                          <w:sz w:val="48"/>
                          <w:szCs w:val="48"/>
                        </w:rPr>
                      </w:pPr>
                      <w:r>
                        <w:rPr>
                          <w:rFonts w:hint="eastAsia" w:ascii="仿宋_GB2312" w:eastAsia="仿宋_GB2312"/>
                          <w:color w:val="FF0000"/>
                          <w:sz w:val="48"/>
                          <w:szCs w:val="48"/>
                        </w:rPr>
                        <w:t>★</w:t>
                      </w:r>
                    </w:p>
                  </w:txbxContent>
                </v:textbox>
              </v:shape>
            </w:pict>
          </mc:Fallback>
        </mc:AlternateContent>
      </w:r>
      <w:r>
        <w:rPr>
          <w:rFonts w:hint="eastAsia" w:ascii="仿宋" w:hAnsi="仿宋" w:eastAsia="仿宋" w:cs="仿宋"/>
          <w:b/>
          <w:bCs/>
          <w:kern w:val="2"/>
          <w:sz w:val="32"/>
          <w:szCs w:val="32"/>
        </w:rPr>
        <w:t>校团〔2022〕</w:t>
      </w:r>
      <w:r>
        <w:rPr>
          <w:rFonts w:hint="eastAsia" w:ascii="仿宋" w:hAnsi="仿宋" w:eastAsia="仿宋" w:cs="仿宋"/>
          <w:b/>
          <w:bCs/>
          <w:kern w:val="2"/>
          <w:sz w:val="32"/>
          <w:szCs w:val="32"/>
          <w:lang w:val="en-US" w:eastAsia="zh-CN"/>
        </w:rPr>
        <w:t>36</w:t>
      </w:r>
      <w:r>
        <w:rPr>
          <w:rFonts w:hint="eastAsia" w:ascii="仿宋" w:hAnsi="仿宋" w:eastAsia="仿宋" w:cs="仿宋"/>
          <w:b/>
          <w:bCs/>
          <w:kern w:val="2"/>
          <w:sz w:val="32"/>
          <w:szCs w:val="32"/>
        </w:rPr>
        <w:t>号</w:t>
      </w:r>
    </w:p>
    <w:p>
      <w:pPr>
        <w:spacing w:line="600" w:lineRule="exact"/>
        <w:rPr>
          <w:rFonts w:hint="eastAsia" w:ascii="方正小标宋简体" w:hAnsi="方正小标宋简体" w:eastAsia="方正小标宋简体" w:cs="方正小标宋简体"/>
          <w:color w:val="000000"/>
          <w:sz w:val="36"/>
          <w:szCs w:val="36"/>
        </w:rPr>
      </w:pPr>
      <w:r>
        <w:rPr>
          <w:rFonts w:ascii="Times New Roman" w:hAnsi="Times New Roman"/>
          <w:lang w:bidi="ar"/>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106045</wp:posOffset>
                </wp:positionV>
                <wp:extent cx="2440940" cy="9525"/>
                <wp:effectExtent l="0" t="13970" r="12700" b="22225"/>
                <wp:wrapNone/>
                <wp:docPr id="1" name="直接连接符 1"/>
                <wp:cNvGraphicFramePr/>
                <a:graphic xmlns:a="http://schemas.openxmlformats.org/drawingml/2006/main">
                  <a:graphicData uri="http://schemas.microsoft.com/office/word/2010/wordprocessingShape">
                    <wps:wsp>
                      <wps:cNvCnPr/>
                      <wps:spPr>
                        <a:xfrm>
                          <a:off x="0" y="0"/>
                          <a:ext cx="2440940"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5pt;margin-top:8.35pt;height:0.75pt;width:192.2pt;z-index:251659264;mso-width-relative:page;mso-height-relative:page;" filled="f" stroked="t" coordsize="21600,21600" o:gfxdata="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9FQHu1QAAAAcBAAAPAAAAAAAAAAEAIAAAACIAAABkcnMvZG93bnJldi54&#10;bWxQSwECFAAUAAAACACHTuJA0bNiT/0BAAD2AwAADgAAAAAAAAABACAAAAAkAQAAZHJzL2Uyb0Rv&#10;Yy54bWxQSwUGAAAAAAYABgBZAQAAkwUAAAAA&#10;">
                <v:fill on="f" focussize="0,0"/>
                <v:stroke weight="2.25pt" color="#FF0000" joinstyle="round"/>
                <v:imagedata o:title=""/>
                <o:lock v:ext="edit" aspectratio="f"/>
              </v:line>
            </w:pict>
          </mc:Fallback>
        </mc:AlternateContent>
      </w:r>
      <w:r>
        <w:rPr>
          <w:rFonts w:ascii="Times New Roman" w:hAnsi="Times New Roman"/>
          <w:lang w:bidi="ar"/>
        </w:rPr>
        <mc:AlternateContent>
          <mc:Choice Requires="wps">
            <w:drawing>
              <wp:anchor distT="0" distB="0" distL="114300" distR="114300" simplePos="0" relativeHeight="251660288" behindDoc="0" locked="0" layoutInCell="1" allowOverlap="1">
                <wp:simplePos x="0" y="0"/>
                <wp:positionH relativeFrom="column">
                  <wp:posOffset>2840355</wp:posOffset>
                </wp:positionH>
                <wp:positionV relativeFrom="paragraph">
                  <wp:posOffset>127635</wp:posOffset>
                </wp:positionV>
                <wp:extent cx="2374900" cy="0"/>
                <wp:effectExtent l="0" t="13970" r="2540" b="16510"/>
                <wp:wrapNone/>
                <wp:docPr id="3" name="直接连接符 3"/>
                <wp:cNvGraphicFramePr/>
                <a:graphic xmlns:a="http://schemas.openxmlformats.org/drawingml/2006/main">
                  <a:graphicData uri="http://schemas.microsoft.com/office/word/2010/wordprocessingShape">
                    <wps:wsp>
                      <wps:cNvCnPr/>
                      <wps:spPr>
                        <a:xfrm flipV="1">
                          <a:off x="0" y="0"/>
                          <a:ext cx="23749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23.65pt;margin-top:10.05pt;height:0pt;width:187pt;z-index:251660288;mso-width-relative:page;mso-height-relative:page;" filled="f" stroked="t" coordsize="21600,21600" o:gfxdata="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3W6s2QAAAAkBAAAPAAAAAAAAAAEAIAAAACIAAABk&#10;cnMvZG93bnJldi54bWxQSwECFAAUAAAACACHTuJAYORmuwUCAAD9AwAADgAAAAAAAAABACAAAAAo&#10;AQAAZHJzL2Uyb0RvYy54bWxQSwUGAAAAAAYABgBZAQAAnwUAAAAA&#10;">
                <v:fill on="f" focussize="0,0"/>
                <v:stroke weight="2.25pt" color="#FF0000" joinstyle="round"/>
                <v:imagedata o:title=""/>
                <o:lock v:ext="edit" aspectratio="f"/>
              </v:line>
            </w:pict>
          </mc:Fallback>
        </mc:AlternateContent>
      </w:r>
    </w:p>
    <w:p>
      <w:pPr>
        <w:spacing w:line="52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关于</w:t>
      </w:r>
      <w:r>
        <w:rPr>
          <w:rFonts w:hint="eastAsia" w:ascii="方正小标宋简体" w:hAnsi="方正小标宋简体" w:eastAsia="方正小标宋简体" w:cs="方正小标宋简体"/>
          <w:color w:val="000000"/>
          <w:sz w:val="44"/>
          <w:szCs w:val="44"/>
          <w:lang w:val="en-US" w:eastAsia="zh-CN"/>
        </w:rPr>
        <w:t>做好2022年团（总）支部对标定级、团员教育评议与年度团籍注册工作</w:t>
      </w:r>
      <w:r>
        <w:rPr>
          <w:rFonts w:hint="eastAsia" w:ascii="方正小标宋简体" w:hAnsi="方正小标宋简体" w:eastAsia="方正小标宋简体" w:cs="方正小标宋简体"/>
          <w:color w:val="000000"/>
          <w:sz w:val="44"/>
          <w:szCs w:val="44"/>
        </w:rPr>
        <w:t>的通知</w:t>
      </w:r>
    </w:p>
    <w:p>
      <w:pPr>
        <w:spacing w:line="520" w:lineRule="exact"/>
        <w:jc w:val="center"/>
        <w:rPr>
          <w:rFonts w:hint="eastAsia" w:ascii="方正小标宋简体" w:hAnsi="方正小标宋简体" w:eastAsia="方正小标宋简体" w:cs="方正小标宋简体"/>
          <w:color w:val="000000"/>
          <w:sz w:val="36"/>
          <w:szCs w:val="36"/>
        </w:rPr>
      </w:pPr>
    </w:p>
    <w:p>
      <w:pPr>
        <w:widowControl/>
        <w:rPr>
          <w:rFonts w:hint="eastAsia" w:ascii="仿宋" w:hAnsi="仿宋" w:eastAsia="仿宋" w:cs="仿宋"/>
          <w:b w:val="0"/>
          <w:bCs/>
          <w:color w:val="000000"/>
          <w:kern w:val="0"/>
          <w:sz w:val="32"/>
          <w:szCs w:val="32"/>
        </w:rPr>
      </w:pPr>
      <w:r>
        <w:rPr>
          <w:rFonts w:hint="eastAsia" w:ascii="仿宋" w:hAnsi="仿宋" w:eastAsia="仿宋" w:cs="仿宋"/>
          <w:b w:val="0"/>
          <w:bCs/>
          <w:color w:val="000000"/>
          <w:kern w:val="0"/>
          <w:sz w:val="32"/>
          <w:szCs w:val="32"/>
        </w:rPr>
        <w:t>各学院团委、研究生团委：</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团（总）支部对标定级、团员教育评议与年度团籍注册是共青团加强团支部、团员队伍建设的工作，也是共青团组织建设的重要内容。为确保对标定级、团员教育评议与年度团籍注册工作顺利开展，现将有关工作要求通知如下：</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一、对标定级工作</w:t>
      </w:r>
    </w:p>
    <w:p>
      <w:pPr>
        <w:widowControl/>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 xml:space="preserve">    1.各单位严格对照《团（总）支部对标定级工作指引及功能操作指南（2022年版）》，开展团总支（学院团委）、团支部自评与上级复核工作，于2022年12月18日将《2022年吉首大学“对标定级”工作复核汇总表》、五星级团支部相关材料发送至校团委组织部邮箱，无须交纸质版材料。联系人：郭锦波19507430571，邮箱jidatuanweizzb@163.com。</w:t>
      </w:r>
      <w:bookmarkStart w:id="0" w:name="_GoBack"/>
      <w:bookmarkEnd w:id="0"/>
    </w:p>
    <w:p>
      <w:pPr>
        <w:widowControl/>
        <w:ind w:firstLine="640"/>
        <w:rPr>
          <w:rFonts w:hint="default"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2.对象：成立6个月以上（2022年6月1日前成立）的团支部，各学院团委。流动团支部、临时团支部、待转接团支部等不纳入“对标定级”范围。</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3.被评定为五星级或四星级团支部，2023年方可参评团内荣誉（如地方各级“五四红旗团支部”、校级“优秀团支部”“活力团支部”），被评定为五星级团支部方可参评“全国五四红旗团支部”，基层团委复核认定应严格掌握五星级和四星级团支部数量，一般不超过团支部总数的30%，基层团委开展复核前，要全面完成空壳团支部的整理整顿，否则无法在“智慧团建”系统中对下属所有团支部开展复核，基层团委“对标定级”复核率将作为评价各地基层建设工作的重要指标。</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4.本年度部分评分细则与2021年有所差异，请各单位开展工作时注意：</w:t>
      </w:r>
    </w:p>
    <w:p>
      <w:pPr>
        <w:widowControl/>
        <w:ind w:firstLine="640" w:firstLineChars="20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1）组织生活-思想政治教育：评定为五星级或四星级团支部，全年开展专题学习应不少于4次。未开展学习二十大精神和学习建团百年重要讲话精神两个专题的，直接评定为软弱涣散团支部。(“智慧团建”系统自动判定)。</w:t>
      </w:r>
    </w:p>
    <w:p>
      <w:pPr>
        <w:widowControl/>
        <w:ind w:firstLine="640" w:firstLineChars="20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（2）制度落实-团员先进性评价：团员评议比例低于 70%的直接评定为软弱演散团支部。(“智慧团建”系统自动判定 )。</w:t>
      </w:r>
    </w:p>
    <w:p>
      <w:pPr>
        <w:widowControl/>
        <w:ind w:firstLine="640" w:firstLineChars="200"/>
        <w:rPr>
          <w:rFonts w:hint="default"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（3）作用发挥-加强“推优入党”：鼓励团员积极向党组织靠拢，有年满 18 周岁团员的团支部中，应有已提交入党申请的团员，否则不得评定为五星级团支部。(“智慧团建”系统自动判定 )。</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default"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二、团员教育评议与年度团籍注册工作</w:t>
      </w:r>
    </w:p>
    <w:p>
      <w:pPr>
        <w:widowControl/>
        <w:ind w:firstLine="640"/>
        <w:rPr>
          <w:rFonts w:hint="default"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1.根据全团“学习二十大、永远跟党走、奋进新征程”主题教育实践活动和《共青团中央关于全团认真学习宣传贯彻党的二十大精神的通知》要求，召开专题组织生活会，全覆盖开展“党的二十大精神”专题学习会，同步开展团员先进性评价和教育评议、年度团籍注册，12 月 20日前完成智慧团建记载。</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2.各单位严格按照评分细则开展团员教育评议工作，一般应召开支部大会,到会团员超过应到会团员总数的2/3方可进行评议，各团支部于2022年12月18日完成团员评议，并将评议结果交至学院团委存档。</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3.评价标准：</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（1）有信仰（25分）：树立远大理想；热爱伟大祖国；崇尚科学理性，不信仰宗教。</w:t>
      </w:r>
    </w:p>
    <w:p>
      <w:pPr>
        <w:widowControl/>
        <w:ind w:firstLine="640"/>
        <w:rPr>
          <w:rFonts w:hint="default"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2）讲政治（25分）：学习党的理论，每年参加团内集中学习培训不少于4次，政治理论学习（思政课）考评优良；拥护党的领导，团员以及各级“青马工程”学员要对社会舆论和网络言论有政治敏锐性和鉴别力，勇于同一切破坏活动做斗争，反对和抵制错误思潮和思想观念。</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（3）重品行（15分）：明确善恶美丑；发扬集体主义；乐于奉献社会，年度志愿服务时长不少于20小时。</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（4）争先锋（20分）：矢志艰苦奋斗，勤奋学习；勇于创先争优，主动向党组织靠拢。</w:t>
      </w:r>
    </w:p>
    <w:p>
      <w:pPr>
        <w:widowControl/>
        <w:ind w:firstLine="640"/>
        <w:rPr>
          <w:rFonts w:hint="default"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（5）守纪律（15分）：模范遵守团章自觉缴纳团费，严守法律纪律，无违反团章团纪的行为。</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4.保留团籍的党员可不参加团员教育评议和年度团籍注册，自愿参加者不限。</w:t>
      </w:r>
    </w:p>
    <w:p>
      <w:pPr>
        <w:widowControl/>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 xml:space="preserve">    5.团员评议等次分为：优秀、合格、基本合格、不合格四个等次。其中优秀等次团员数量应控制在参评团员人数的30%以内。评议为优秀的团员方可参评2023年度团内荣誉。</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6.年度团籍注册以团支部为单位进行，团支部在每年一月份办理年度团籍注册手续。对团员等次不合格的团员，基层团委应当对其暂缓注册3至6个月。</w:t>
      </w:r>
    </w:p>
    <w:p>
      <w:pPr>
        <w:widowControl/>
        <w:ind w:firstLine="64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7.团员年满28周岁，没有担任团内职务，应当办理离团手续。团员入党之后仍保留团籍，年满28周岁，没有担任团内职务，不再保留团籍。</w:t>
      </w:r>
    </w:p>
    <w:p>
      <w:pPr>
        <w:widowControl/>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 xml:space="preserve">    </w:t>
      </w:r>
    </w:p>
    <w:p>
      <w:pPr>
        <w:widowControl/>
        <w:rPr>
          <w:rFonts w:hint="eastAsia" w:ascii="仿宋" w:hAnsi="仿宋" w:eastAsia="仿宋" w:cs="仿宋"/>
          <w:b w:val="0"/>
          <w:bCs/>
          <w:color w:val="000000"/>
          <w:kern w:val="0"/>
          <w:sz w:val="32"/>
          <w:szCs w:val="32"/>
          <w:lang w:val="en-US" w:eastAsia="zh-CN"/>
        </w:rPr>
      </w:pPr>
    </w:p>
    <w:p>
      <w:pPr>
        <w:widowControl/>
        <w:rPr>
          <w:rFonts w:hint="eastAsia" w:ascii="仿宋" w:hAnsi="仿宋" w:eastAsia="仿宋" w:cs="仿宋"/>
          <w:b w:val="0"/>
          <w:bCs/>
          <w:color w:val="000000"/>
          <w:kern w:val="0"/>
          <w:sz w:val="32"/>
          <w:szCs w:val="32"/>
          <w:lang w:val="en-US" w:eastAsia="zh-CN"/>
        </w:rPr>
      </w:pPr>
    </w:p>
    <w:p>
      <w:pPr>
        <w:widowControl/>
        <w:rPr>
          <w:rFonts w:hint="eastAsia" w:ascii="仿宋" w:hAnsi="仿宋" w:eastAsia="仿宋" w:cs="仿宋"/>
          <w:b w:val="0"/>
          <w:bCs/>
          <w:color w:val="000000"/>
          <w:kern w:val="0"/>
          <w:sz w:val="32"/>
          <w:szCs w:val="32"/>
          <w:lang w:val="en-US" w:eastAsia="zh-CN"/>
        </w:rPr>
      </w:pPr>
    </w:p>
    <w:p>
      <w:pPr>
        <w:widowControl/>
        <w:rPr>
          <w:rFonts w:hint="eastAsia" w:ascii="仿宋" w:hAnsi="仿宋" w:eastAsia="仿宋" w:cs="仿宋"/>
          <w:b w:val="0"/>
          <w:bCs/>
          <w:color w:val="000000"/>
          <w:kern w:val="0"/>
          <w:sz w:val="32"/>
          <w:szCs w:val="32"/>
          <w:lang w:val="en-US" w:eastAsia="zh-CN"/>
        </w:rPr>
      </w:pPr>
    </w:p>
    <w:p>
      <w:pPr>
        <w:widowControl/>
        <w:rPr>
          <w:rFonts w:hint="eastAsia" w:ascii="仿宋" w:hAnsi="仿宋" w:eastAsia="仿宋" w:cs="仿宋"/>
          <w:b w:val="0"/>
          <w:bCs/>
          <w:color w:val="000000"/>
          <w:kern w:val="0"/>
          <w:sz w:val="32"/>
          <w:szCs w:val="32"/>
          <w:lang w:val="en-US" w:eastAsia="zh-CN"/>
        </w:rPr>
      </w:pPr>
    </w:p>
    <w:p>
      <w:pPr>
        <w:widowControl/>
        <w:rPr>
          <w:rFonts w:hint="eastAsia" w:ascii="仿宋" w:hAnsi="仿宋" w:eastAsia="仿宋" w:cs="仿宋"/>
          <w:b w:val="0"/>
          <w:bCs/>
          <w:color w:val="000000"/>
          <w:kern w:val="0"/>
          <w:sz w:val="32"/>
          <w:szCs w:val="32"/>
          <w:lang w:val="en-US" w:eastAsia="zh-CN"/>
        </w:rPr>
      </w:pPr>
    </w:p>
    <w:p>
      <w:pPr>
        <w:widowControl/>
        <w:ind w:firstLine="640" w:firstLineChars="200"/>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附件：</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1.《2022年吉首大学“对标定级”工作复核汇总表》</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2.团（总）支部“对标定级”工作指引（2022年修订版）</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3.团（总）支部“对标定级”参考标准（2022年版）</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val="0"/>
          <w:bCs/>
          <w:color w:val="000000"/>
          <w:kern w:val="0"/>
          <w:sz w:val="32"/>
          <w:szCs w:val="32"/>
          <w:lang w:val="en-US" w:eastAsia="zh-CN"/>
        </w:rPr>
        <w:t>4.</w:t>
      </w:r>
      <w:r>
        <w:rPr>
          <w:rFonts w:hint="eastAsia" w:ascii="仿宋" w:hAnsi="仿宋" w:eastAsia="仿宋" w:cs="仿宋"/>
          <w:b w:val="0"/>
          <w:bCs/>
          <w:color w:val="000000"/>
          <w:kern w:val="0"/>
          <w:sz w:val="32"/>
          <w:szCs w:val="32"/>
          <w:highlight w:val="none"/>
          <w:lang w:val="en-US" w:eastAsia="zh-CN"/>
        </w:rPr>
        <w:t>《共青团“学习二十大、永远跟党走、奋进新征程”专题组织生活会指引》</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b w:val="0"/>
          <w:bCs/>
          <w:color w:val="000000"/>
          <w:kern w:val="0"/>
          <w:sz w:val="32"/>
          <w:szCs w:val="32"/>
          <w:highlight w:val="none"/>
          <w:lang w:val="en-US" w:eastAsia="zh-CN"/>
        </w:rPr>
      </w:pPr>
      <w:r>
        <w:rPr>
          <w:rFonts w:hint="eastAsia" w:ascii="仿宋" w:hAnsi="仿宋" w:eastAsia="仿宋" w:cs="仿宋"/>
          <w:b w:val="0"/>
          <w:bCs/>
          <w:color w:val="000000"/>
          <w:kern w:val="0"/>
          <w:sz w:val="32"/>
          <w:szCs w:val="32"/>
          <w:highlight w:val="none"/>
          <w:lang w:val="en-US" w:eastAsia="zh-CN"/>
        </w:rPr>
        <w:t>5.</w:t>
      </w:r>
      <w:r>
        <w:rPr>
          <w:rFonts w:hint="eastAsia" w:ascii="仿宋" w:hAnsi="仿宋" w:eastAsia="仿宋" w:cs="仿宋"/>
          <w:sz w:val="32"/>
          <w:szCs w:val="32"/>
        </w:rPr>
        <w:t>《新时代共青团员先进性评价指导大纲（试行）》</w:t>
      </w:r>
    </w:p>
    <w:p>
      <w:pPr>
        <w:widowControl/>
        <w:numPr>
          <w:ilvl w:val="0"/>
          <w:numId w:val="0"/>
        </w:numPr>
        <w:rPr>
          <w:rFonts w:hint="eastAsia" w:ascii="仿宋" w:hAnsi="仿宋" w:eastAsia="仿宋" w:cs="仿宋"/>
          <w:b w:val="0"/>
          <w:bCs/>
          <w:color w:val="000000"/>
          <w:kern w:val="0"/>
          <w:sz w:val="32"/>
          <w:szCs w:val="32"/>
          <w:lang w:val="en-US" w:eastAsia="zh-CN"/>
        </w:rPr>
      </w:pPr>
    </w:p>
    <w:p>
      <w:pPr>
        <w:widowControl/>
        <w:numPr>
          <w:ilvl w:val="0"/>
          <w:numId w:val="0"/>
        </w:numPr>
        <w:rPr>
          <w:rFonts w:hint="eastAsia" w:ascii="仿宋" w:hAnsi="仿宋" w:eastAsia="仿宋" w:cs="仿宋"/>
          <w:b w:val="0"/>
          <w:bCs/>
          <w:color w:val="000000"/>
          <w:kern w:val="0"/>
          <w:sz w:val="32"/>
          <w:szCs w:val="32"/>
          <w:lang w:val="en-US" w:eastAsia="zh-CN"/>
        </w:rPr>
      </w:pPr>
    </w:p>
    <w:p>
      <w:pPr>
        <w:widowControl/>
        <w:numPr>
          <w:ilvl w:val="0"/>
          <w:numId w:val="0"/>
        </w:numPr>
        <w:rPr>
          <w:rFonts w:hint="eastAsia" w:ascii="仿宋" w:hAnsi="仿宋" w:eastAsia="仿宋" w:cs="仿宋"/>
          <w:b w:val="0"/>
          <w:bCs/>
          <w:color w:val="000000"/>
          <w:kern w:val="0"/>
          <w:sz w:val="32"/>
          <w:szCs w:val="32"/>
          <w:lang w:val="en-US" w:eastAsia="zh-CN"/>
        </w:rPr>
      </w:pPr>
    </w:p>
    <w:p>
      <w:pPr>
        <w:widowControl/>
        <w:jc w:val="both"/>
        <w:rPr>
          <w:rFonts w:ascii="仿宋" w:hAnsi="仿宋" w:eastAsia="仿宋" w:cs="仿宋"/>
          <w:bCs/>
          <w:color w:val="000000"/>
          <w:kern w:val="0"/>
          <w:sz w:val="32"/>
          <w:szCs w:val="32"/>
        </w:rPr>
      </w:pPr>
      <w:r>
        <w:rPr>
          <w:rFonts w:hint="eastAsia" w:ascii="仿宋" w:hAnsi="仿宋" w:eastAsia="仿宋" w:cs="仿宋"/>
          <w:bCs/>
          <w:color w:val="000000"/>
          <w:kern w:val="0"/>
          <w:sz w:val="32"/>
          <w:szCs w:val="32"/>
          <w:lang w:val="en-US" w:eastAsia="zh-CN"/>
        </w:rPr>
        <w:t xml:space="preserve">                             </w:t>
      </w:r>
      <w:r>
        <w:rPr>
          <w:rFonts w:hint="eastAsia" w:ascii="仿宋" w:hAnsi="仿宋" w:eastAsia="仿宋" w:cs="仿宋"/>
          <w:bCs/>
          <w:color w:val="000000"/>
          <w:kern w:val="0"/>
          <w:sz w:val="32"/>
          <w:szCs w:val="32"/>
        </w:rPr>
        <w:t>共青团吉首大学委员会</w:t>
      </w:r>
    </w:p>
    <w:p>
      <w:pPr>
        <w:widowControl/>
        <w:jc w:val="both"/>
        <w:rPr>
          <w:rFonts w:hint="eastAsia" w:ascii="仿宋" w:hAnsi="仿宋" w:eastAsia="仿宋" w:cs="仿宋"/>
          <w:bCs/>
          <w:color w:val="000000"/>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Cs/>
          <w:color w:val="000000"/>
          <w:kern w:val="0"/>
          <w:sz w:val="32"/>
          <w:szCs w:val="32"/>
        </w:rPr>
        <w:t xml:space="preserve">                          </w:t>
      </w:r>
      <w:r>
        <w:rPr>
          <w:rFonts w:hint="eastAsia" w:ascii="仿宋" w:hAnsi="仿宋" w:eastAsia="仿宋" w:cs="仿宋"/>
          <w:bCs/>
          <w:color w:val="000000"/>
          <w:kern w:val="0"/>
          <w:sz w:val="32"/>
          <w:szCs w:val="32"/>
          <w:lang w:val="en-US" w:eastAsia="zh-CN"/>
        </w:rPr>
        <w:t xml:space="preserve">     </w:t>
      </w:r>
      <w:r>
        <w:rPr>
          <w:rFonts w:ascii="仿宋" w:hAnsi="仿宋" w:eastAsia="仿宋" w:cs="仿宋"/>
          <w:bCs/>
          <w:color w:val="000000"/>
          <w:kern w:val="0"/>
          <w:sz w:val="32"/>
          <w:szCs w:val="32"/>
        </w:rPr>
        <w:t>2022</w:t>
      </w:r>
      <w:r>
        <w:rPr>
          <w:rFonts w:hint="eastAsia" w:ascii="仿宋" w:hAnsi="仿宋" w:eastAsia="仿宋" w:cs="仿宋"/>
          <w:bCs/>
          <w:color w:val="000000"/>
          <w:kern w:val="0"/>
          <w:sz w:val="32"/>
          <w:szCs w:val="32"/>
        </w:rPr>
        <w:t>年1</w:t>
      </w:r>
      <w:r>
        <w:rPr>
          <w:rFonts w:hint="eastAsia" w:ascii="仿宋" w:hAnsi="仿宋" w:eastAsia="仿宋" w:cs="仿宋"/>
          <w:bCs/>
          <w:color w:val="000000"/>
          <w:kern w:val="0"/>
          <w:sz w:val="32"/>
          <w:szCs w:val="32"/>
          <w:lang w:val="en-US" w:eastAsia="zh-CN"/>
        </w:rPr>
        <w:t>2</w:t>
      </w:r>
      <w:r>
        <w:rPr>
          <w:rFonts w:hint="eastAsia" w:ascii="仿宋" w:hAnsi="仿宋" w:eastAsia="仿宋" w:cs="仿宋"/>
          <w:bCs/>
          <w:color w:val="000000"/>
          <w:kern w:val="0"/>
          <w:sz w:val="32"/>
          <w:szCs w:val="32"/>
        </w:rPr>
        <w:t>月</w:t>
      </w:r>
      <w:r>
        <w:rPr>
          <w:rFonts w:hint="eastAsia" w:ascii="仿宋" w:hAnsi="仿宋" w:eastAsia="仿宋" w:cs="仿宋"/>
          <w:bCs/>
          <w:color w:val="000000"/>
          <w:kern w:val="0"/>
          <w:sz w:val="32"/>
          <w:szCs w:val="32"/>
          <w:lang w:val="en-US" w:eastAsia="zh-CN"/>
        </w:rPr>
        <w:t>9日</w:t>
      </w:r>
    </w:p>
    <w:p>
      <w:pPr>
        <w:jc w:val="left"/>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附件1：</w:t>
      </w:r>
    </w:p>
    <w:p>
      <w:pPr>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2022年吉首大学“对标定级”工作复核汇总表</w:t>
      </w:r>
    </w:p>
    <w:p>
      <w:pPr>
        <w:jc w:val="left"/>
        <w:rPr>
          <w:rFonts w:ascii="黑体" w:hAnsi="黑体" w:eastAsia="黑体"/>
          <w:sz w:val="32"/>
          <w:szCs w:val="32"/>
          <w:u w:val="single"/>
        </w:rPr>
      </w:pPr>
      <w:r>
        <w:rPr>
          <w:rFonts w:hint="eastAsia" w:ascii="黑体" w:hAnsi="黑体" w:eastAsia="黑体"/>
          <w:sz w:val="32"/>
          <w:szCs w:val="32"/>
        </w:rPr>
        <w:t>院团委：</w:t>
      </w:r>
      <w:r>
        <w:rPr>
          <w:rFonts w:hint="eastAsia" w:ascii="黑体" w:hAnsi="黑体" w:eastAsia="黑体"/>
          <w:sz w:val="32"/>
          <w:szCs w:val="32"/>
          <w:u w:val="single"/>
        </w:rPr>
        <w:t xml:space="preserve"> </w:t>
      </w:r>
      <w:r>
        <w:rPr>
          <w:rFonts w:ascii="黑体" w:hAnsi="黑体" w:eastAsia="黑体"/>
          <w:sz w:val="32"/>
          <w:szCs w:val="32"/>
          <w:u w:val="single"/>
        </w:rPr>
        <w:t xml:space="preserve">                </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5"/>
        <w:gridCol w:w="3960"/>
        <w:gridCol w:w="1461"/>
        <w:gridCol w:w="1133"/>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黑体" w:hAnsi="黑体" w:eastAsia="黑体"/>
                <w:sz w:val="30"/>
                <w:szCs w:val="30"/>
              </w:rPr>
            </w:pPr>
            <w:r>
              <w:rPr>
                <w:rFonts w:hint="eastAsia" w:ascii="黑体" w:hAnsi="黑体" w:eastAsia="黑体"/>
                <w:sz w:val="30"/>
                <w:szCs w:val="30"/>
              </w:rPr>
              <w:t>序号</w:t>
            </w: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黑体" w:hAnsi="黑体" w:eastAsia="黑体"/>
                <w:sz w:val="30"/>
                <w:szCs w:val="30"/>
              </w:rPr>
            </w:pPr>
            <w:r>
              <w:rPr>
                <w:rFonts w:hint="eastAsia" w:ascii="黑体" w:hAnsi="黑体" w:eastAsia="黑体"/>
                <w:sz w:val="30"/>
                <w:szCs w:val="30"/>
              </w:rPr>
              <w:t>组织名称</w:t>
            </w:r>
          </w:p>
          <w:p>
            <w:pPr>
              <w:keepNext w:val="0"/>
              <w:keepLines w:val="0"/>
              <w:suppressLineNumbers w:val="0"/>
              <w:spacing w:before="0" w:beforeAutospacing="0" w:after="0" w:afterAutospacing="0"/>
              <w:ind w:left="0" w:right="0"/>
              <w:jc w:val="center"/>
              <w:rPr>
                <w:rFonts w:hint="default" w:ascii="仿宋" w:hAnsi="仿宋" w:eastAsia="仿宋"/>
                <w:szCs w:val="21"/>
              </w:rPr>
            </w:pPr>
            <w:r>
              <w:rPr>
                <w:rFonts w:hint="eastAsia" w:ascii="仿宋" w:hAnsi="仿宋" w:eastAsia="仿宋"/>
                <w:szCs w:val="21"/>
              </w:rPr>
              <w:t>（填写“智慧团建”系统中的组织全称）</w:t>
            </w: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黑体" w:hAnsi="黑体" w:eastAsia="黑体"/>
                <w:sz w:val="30"/>
                <w:szCs w:val="30"/>
              </w:rPr>
            </w:pPr>
            <w:r>
              <w:rPr>
                <w:rFonts w:hint="eastAsia" w:ascii="黑体" w:hAnsi="黑体" w:eastAsia="黑体"/>
                <w:sz w:val="30"/>
                <w:szCs w:val="30"/>
              </w:rPr>
              <w:t>组织类别</w:t>
            </w: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黑体" w:hAnsi="黑体" w:eastAsia="黑体"/>
                <w:sz w:val="30"/>
                <w:szCs w:val="30"/>
              </w:rPr>
            </w:pPr>
            <w:r>
              <w:rPr>
                <w:rFonts w:hint="eastAsia" w:ascii="黑体" w:hAnsi="黑体" w:eastAsia="黑体"/>
                <w:sz w:val="30"/>
                <w:szCs w:val="30"/>
              </w:rPr>
              <w:t>自评星级</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黑体" w:hAnsi="黑体" w:eastAsia="黑体"/>
                <w:sz w:val="30"/>
                <w:szCs w:val="30"/>
              </w:rPr>
            </w:pPr>
            <w:r>
              <w:rPr>
                <w:rFonts w:hint="eastAsia" w:ascii="黑体" w:hAnsi="黑体" w:eastAsia="黑体"/>
                <w:sz w:val="30"/>
                <w:szCs w:val="30"/>
              </w:rPr>
              <w:t>复核星级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r>
              <w:rPr>
                <w:rFonts w:hint="default" w:ascii="仿宋" w:hAnsi="仿宋" w:eastAsia="仿宋" w:cs="仿宋"/>
                <w:sz w:val="28"/>
                <w:szCs w:val="28"/>
              </w:rPr>
              <w:t>1</w:t>
            </w: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highlight w:val="none"/>
                <w:lang w:val="en-US" w:eastAsia="zh-CN"/>
              </w:rPr>
            </w:pPr>
            <w:r>
              <w:rPr>
                <w:rFonts w:hint="eastAsia" w:ascii="仿宋" w:hAnsi="仿宋" w:eastAsia="仿宋"/>
                <w:sz w:val="28"/>
                <w:szCs w:val="28"/>
                <w:highlight w:val="none"/>
              </w:rPr>
              <w:t>填写“智慧团建”系统中的组织全称。</w:t>
            </w:r>
            <w:r>
              <w:rPr>
                <w:rFonts w:hint="eastAsia" w:ascii="仿宋" w:hAnsi="仿宋" w:eastAsia="仿宋" w:cs="仿宋"/>
                <w:sz w:val="28"/>
                <w:szCs w:val="28"/>
                <w:highlight w:val="none"/>
              </w:rPr>
              <w:t>例如：湖南省吉首大学生物资源与环境管理学院</w:t>
            </w:r>
            <w:r>
              <w:rPr>
                <w:rFonts w:hint="eastAsia" w:ascii="仿宋" w:hAnsi="仿宋" w:eastAsia="仿宋" w:cs="仿宋"/>
                <w:sz w:val="28"/>
                <w:szCs w:val="28"/>
                <w:highlight w:val="none"/>
                <w:lang w:val="en-US" w:eastAsia="zh-CN"/>
              </w:rPr>
              <w:t>团委</w:t>
            </w: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团总支</w:t>
            </w: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default" w:ascii="仿宋" w:hAnsi="仿宋" w:eastAsia="仿宋" w:cs="仿宋"/>
                <w:sz w:val="28"/>
                <w:szCs w:val="28"/>
                <w:highlight w:val="none"/>
                <w:u w:val="single"/>
              </w:rPr>
              <w:t xml:space="preserve"> </w:t>
            </w:r>
            <w:r>
              <w:rPr>
                <w:rFonts w:hint="eastAsia" w:ascii="仿宋" w:hAnsi="仿宋" w:eastAsia="仿宋" w:cs="仿宋"/>
                <w:sz w:val="28"/>
                <w:szCs w:val="28"/>
                <w:highlight w:val="none"/>
              </w:rPr>
              <w:t>星</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r>
              <w:rPr>
                <w:rFonts w:hint="default" w:ascii="仿宋" w:hAnsi="仿宋" w:eastAsia="仿宋" w:cs="仿宋"/>
                <w:sz w:val="28"/>
                <w:szCs w:val="28"/>
              </w:rPr>
              <w:t>2</w:t>
            </w: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例如：</w:t>
            </w:r>
            <w:r>
              <w:rPr>
                <w:rFonts w:hint="default" w:ascii="仿宋" w:hAnsi="仿宋" w:eastAsia="仿宋" w:cs="仿宋"/>
                <w:sz w:val="28"/>
                <w:szCs w:val="28"/>
              </w:rPr>
              <w:t>湖南省吉首大学生物资源与环境科学学院</w:t>
            </w:r>
            <w:r>
              <w:rPr>
                <w:rFonts w:hint="eastAsia" w:ascii="仿宋" w:hAnsi="仿宋" w:eastAsia="仿宋" w:cs="仿宋"/>
                <w:sz w:val="28"/>
                <w:szCs w:val="28"/>
              </w:rPr>
              <w:t>2</w:t>
            </w:r>
            <w:r>
              <w:rPr>
                <w:rFonts w:hint="default" w:ascii="仿宋" w:hAnsi="仿宋" w:eastAsia="仿宋" w:cs="仿宋"/>
                <w:sz w:val="28"/>
                <w:szCs w:val="28"/>
              </w:rPr>
              <w:t>019</w:t>
            </w:r>
            <w:r>
              <w:rPr>
                <w:rFonts w:hint="eastAsia" w:ascii="仿宋" w:hAnsi="仿宋" w:eastAsia="仿宋" w:cs="仿宋"/>
                <w:sz w:val="28"/>
                <w:szCs w:val="28"/>
              </w:rPr>
              <w:t>级生物科学团支部</w:t>
            </w: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团支部</w:t>
            </w: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u w:val="single"/>
              </w:rPr>
              <w:t xml:space="preserve"> </w:t>
            </w:r>
            <w:r>
              <w:rPr>
                <w:rFonts w:hint="default" w:ascii="仿宋" w:hAnsi="仿宋" w:eastAsia="仿宋" w:cs="仿宋"/>
                <w:sz w:val="28"/>
                <w:szCs w:val="28"/>
                <w:u w:val="single"/>
              </w:rPr>
              <w:t xml:space="preserve"> </w:t>
            </w:r>
            <w:r>
              <w:rPr>
                <w:rFonts w:hint="eastAsia" w:ascii="仿宋" w:hAnsi="仿宋" w:eastAsia="仿宋" w:cs="仿宋"/>
                <w:sz w:val="28"/>
                <w:szCs w:val="28"/>
              </w:rPr>
              <w:t>星</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u w:val="single"/>
              </w:rPr>
              <w:t xml:space="preserve"> </w:t>
            </w:r>
            <w:r>
              <w:rPr>
                <w:rFonts w:hint="default" w:ascii="仿宋" w:hAnsi="仿宋" w:eastAsia="仿宋" w:cs="仿宋"/>
                <w:sz w:val="28"/>
                <w:szCs w:val="28"/>
                <w:u w:val="single"/>
              </w:rPr>
              <w:t xml:space="preserve"> </w:t>
            </w:r>
            <w:r>
              <w:rPr>
                <w:rFonts w:hint="eastAsia" w:ascii="仿宋" w:hAnsi="仿宋" w:eastAsia="仿宋" w:cs="仿宋"/>
                <w:sz w:val="28"/>
                <w:szCs w:val="28"/>
              </w:rPr>
              <w:t>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39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4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113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8"/>
                <w:szCs w:val="28"/>
              </w:rPr>
            </w:pPr>
          </w:p>
        </w:tc>
      </w:tr>
    </w:tbl>
    <w:p>
      <w:pPr>
        <w:jc w:val="left"/>
        <w:rPr>
          <w:rFonts w:hint="eastAsia" w:ascii="仿宋" w:hAnsi="仿宋" w:eastAsia="仿宋" w:cs="仿宋"/>
          <w:bCs/>
          <w:color w:val="000000"/>
          <w:kern w:val="0"/>
          <w:sz w:val="28"/>
          <w:szCs w:val="28"/>
          <w:lang w:val="en-US" w:eastAsia="zh-CN"/>
        </w:rPr>
      </w:pPr>
    </w:p>
    <w:p>
      <w:pPr>
        <w:jc w:val="left"/>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附件2：</w:t>
      </w:r>
    </w:p>
    <w:p>
      <w:pPr>
        <w:pStyle w:val="7"/>
        <w:widowControl/>
        <w:spacing w:line="240" w:lineRule="auto"/>
        <w:rPr>
          <w:rFonts w:hint="default" w:ascii="Times New Roman" w:hAnsi="Times New Roman" w:eastAsia="方正小标宋简体" w:cs="Times New Roman"/>
          <w:bCs w:val="0"/>
          <w:color w:val="000000"/>
          <w:szCs w:val="44"/>
          <w:lang w:val="en-US"/>
        </w:rPr>
      </w:pPr>
      <w:r>
        <w:rPr>
          <w:rFonts w:hint="eastAsia" w:ascii="Times New Roman" w:hAnsi="Times New Roman" w:eastAsia="方正小标宋简体" w:cs="方正小标宋简体"/>
          <w:bCs w:val="0"/>
          <w:color w:val="000000"/>
          <w:szCs w:val="44"/>
          <w:lang w:eastAsia="zh-CN"/>
        </w:rPr>
        <w:t>团（总）支部“对标定级”工作指引</w:t>
      </w:r>
    </w:p>
    <w:p>
      <w:pPr>
        <w:keepNext w:val="0"/>
        <w:keepLines w:val="0"/>
        <w:widowControl/>
        <w:suppressLineNumbers w:val="0"/>
        <w:spacing w:before="0" w:beforeAutospacing="0" w:after="0" w:afterAutospacing="0" w:line="550" w:lineRule="exact"/>
        <w:ind w:left="0" w:right="0"/>
        <w:jc w:val="center"/>
        <w:rPr>
          <w:rFonts w:eastAsia="方正仿宋简体"/>
          <w:color w:val="000000"/>
          <w:sz w:val="32"/>
          <w:szCs w:val="22"/>
          <w:lang w:val="en-US"/>
        </w:rPr>
      </w:pPr>
      <w:r>
        <w:rPr>
          <w:rFonts w:hint="eastAsia" w:ascii="Times New Roman" w:hAnsi="方正楷体简体" w:eastAsia="方正楷体简体" w:cs="方正楷体简体"/>
          <w:color w:val="000000"/>
          <w:kern w:val="2"/>
          <w:sz w:val="32"/>
          <w:szCs w:val="22"/>
          <w:lang w:val="en-US" w:eastAsia="zh-CN" w:bidi="ar"/>
        </w:rPr>
        <w:t>（</w:t>
      </w:r>
      <w:r>
        <w:rPr>
          <w:rFonts w:hint="default" w:ascii="Times New Roman" w:hAnsi="Times New Roman" w:eastAsia="方正楷体简体" w:cs="Times New Roman"/>
          <w:color w:val="000000"/>
          <w:kern w:val="2"/>
          <w:sz w:val="32"/>
          <w:szCs w:val="22"/>
          <w:lang w:val="en-US" w:eastAsia="zh-CN" w:bidi="ar"/>
        </w:rPr>
        <w:t>2022</w:t>
      </w:r>
      <w:r>
        <w:rPr>
          <w:rFonts w:hint="eastAsia" w:ascii="Times New Roman" w:hAnsi="方正楷体简体" w:eastAsia="方正楷体简体" w:cs="方正楷体简体"/>
          <w:color w:val="000000"/>
          <w:kern w:val="2"/>
          <w:sz w:val="32"/>
          <w:szCs w:val="22"/>
          <w:lang w:val="en-US" w:eastAsia="zh-CN" w:bidi="ar"/>
        </w:rPr>
        <w:t>年修订版）</w:t>
      </w:r>
    </w:p>
    <w:p>
      <w:pPr>
        <w:pStyle w:val="3"/>
        <w:widowControl/>
        <w:spacing w:before="0" w:beforeAutospacing="0" w:after="0" w:afterAutospacing="0" w:line="560" w:lineRule="exact"/>
        <w:ind w:left="0" w:right="0" w:firstLine="560" w:firstLineChars="200"/>
        <w:rPr>
          <w:rFonts w:hint="eastAsia" w:ascii="仿宋" w:hAnsi="仿宋" w:eastAsia="仿宋" w:cs="仿宋"/>
          <w:b w:val="0"/>
          <w:bCs/>
          <w:sz w:val="28"/>
          <w:szCs w:val="28"/>
          <w:lang w:val="en-US"/>
        </w:rPr>
      </w:pPr>
      <w:r>
        <w:rPr>
          <w:rFonts w:hint="eastAsia" w:ascii="仿宋" w:hAnsi="仿宋" w:eastAsia="仿宋" w:cs="仿宋"/>
          <w:b w:val="0"/>
          <w:bCs/>
          <w:sz w:val="28"/>
          <w:szCs w:val="28"/>
          <w:lang w:val="en-US"/>
        </w:rPr>
        <w:t>1</w:t>
      </w:r>
      <w:r>
        <w:rPr>
          <w:rFonts w:hint="eastAsia" w:ascii="仿宋" w:hAnsi="仿宋" w:eastAsia="仿宋" w:cs="仿宋"/>
          <w:b w:val="0"/>
          <w:bCs/>
          <w:sz w:val="28"/>
          <w:szCs w:val="28"/>
          <w:lang w:eastAsia="zh-CN"/>
        </w:rPr>
        <w:t>．目标</w:t>
      </w:r>
    </w:p>
    <w:p>
      <w:pPr>
        <w:keepNext w:val="0"/>
        <w:keepLines w:val="0"/>
        <w:widowControl/>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坚持一切工作到支部，指导推动团支部（含团总支部，下同）加强建设、规范运行，不断提升组织力，彰显政治功能和社会功能。</w:t>
      </w:r>
    </w:p>
    <w:p>
      <w:pPr>
        <w:pStyle w:val="3"/>
        <w:widowControl/>
        <w:spacing w:before="0" w:beforeAutospacing="0" w:after="0" w:afterAutospacing="0" w:line="560" w:lineRule="exact"/>
        <w:ind w:left="0" w:right="0" w:firstLine="560" w:firstLineChars="200"/>
        <w:rPr>
          <w:rFonts w:hint="eastAsia" w:ascii="仿宋" w:hAnsi="仿宋" w:eastAsia="仿宋" w:cs="仿宋"/>
          <w:b w:val="0"/>
          <w:bCs/>
          <w:sz w:val="28"/>
          <w:szCs w:val="28"/>
          <w:lang w:val="en-US"/>
        </w:rPr>
      </w:pPr>
      <w:r>
        <w:rPr>
          <w:rFonts w:hint="eastAsia" w:ascii="仿宋" w:hAnsi="仿宋" w:eastAsia="仿宋" w:cs="仿宋"/>
          <w:b w:val="0"/>
          <w:bCs/>
          <w:sz w:val="28"/>
          <w:szCs w:val="28"/>
          <w:lang w:val="en-US"/>
        </w:rPr>
        <w:t>2</w:t>
      </w:r>
      <w:r>
        <w:rPr>
          <w:rFonts w:hint="eastAsia" w:ascii="仿宋" w:hAnsi="仿宋" w:eastAsia="仿宋" w:cs="仿宋"/>
          <w:b w:val="0"/>
          <w:bCs/>
          <w:sz w:val="28"/>
          <w:szCs w:val="28"/>
          <w:lang w:eastAsia="zh-CN"/>
        </w:rPr>
        <w:t>．时间</w:t>
      </w:r>
    </w:p>
    <w:p>
      <w:pPr>
        <w:keepNext w:val="0"/>
        <w:keepLines w:val="0"/>
        <w:widowControl/>
        <w:suppressLineNumbers w:val="0"/>
        <w:spacing w:before="0" w:beforeAutospacing="0" w:after="0" w:afterAutospacing="0" w:line="560" w:lineRule="exact"/>
        <w:ind w:left="0" w:right="0" w:firstLine="560" w:firstLineChars="200"/>
        <w:jc w:val="left"/>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2022年度“对标定级”工作于12月集中开展，12月31日前完成。</w:t>
      </w:r>
    </w:p>
    <w:p>
      <w:pPr>
        <w:pStyle w:val="3"/>
        <w:widowControl/>
        <w:spacing w:before="0" w:beforeAutospacing="0" w:after="0" w:afterAutospacing="0" w:line="560" w:lineRule="exact"/>
        <w:ind w:left="0" w:right="0" w:firstLine="560" w:firstLineChars="200"/>
        <w:rPr>
          <w:rFonts w:hint="eastAsia" w:ascii="仿宋" w:hAnsi="仿宋" w:eastAsia="仿宋" w:cs="仿宋"/>
          <w:b w:val="0"/>
          <w:bCs/>
          <w:sz w:val="28"/>
          <w:szCs w:val="28"/>
          <w:lang w:val="en-US"/>
        </w:rPr>
      </w:pPr>
      <w:r>
        <w:rPr>
          <w:rFonts w:hint="eastAsia" w:ascii="仿宋" w:hAnsi="仿宋" w:eastAsia="仿宋" w:cs="仿宋"/>
          <w:b w:val="0"/>
          <w:bCs/>
          <w:sz w:val="28"/>
          <w:szCs w:val="28"/>
          <w:lang w:val="en-US"/>
        </w:rPr>
        <w:t>3</w:t>
      </w:r>
      <w:r>
        <w:rPr>
          <w:rFonts w:hint="eastAsia" w:ascii="仿宋" w:hAnsi="仿宋" w:eastAsia="仿宋" w:cs="仿宋"/>
          <w:b w:val="0"/>
          <w:bCs/>
          <w:sz w:val="28"/>
          <w:szCs w:val="28"/>
          <w:lang w:eastAsia="zh-CN"/>
        </w:rPr>
        <w:t>．对象</w:t>
      </w:r>
    </w:p>
    <w:p>
      <w:pPr>
        <w:keepNext w:val="0"/>
        <w:keepLines w:val="0"/>
        <w:widowControl/>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成立6个月以上（2022年6月1日前成立）的团支部。流动团员团支部、临时团支部、待转接团支部等不纳入“对标定级”范围。</w:t>
      </w:r>
    </w:p>
    <w:p>
      <w:pPr>
        <w:pStyle w:val="3"/>
        <w:widowControl/>
        <w:spacing w:before="0" w:beforeAutospacing="0" w:after="0" w:afterAutospacing="0" w:line="560" w:lineRule="exact"/>
        <w:ind w:left="0" w:right="0" w:firstLine="560" w:firstLineChars="200"/>
        <w:rPr>
          <w:rFonts w:hint="eastAsia" w:ascii="仿宋" w:hAnsi="仿宋" w:eastAsia="仿宋" w:cs="仿宋"/>
          <w:b w:val="0"/>
          <w:bCs/>
          <w:sz w:val="28"/>
          <w:szCs w:val="28"/>
          <w:lang w:val="en-US"/>
        </w:rPr>
      </w:pPr>
      <w:r>
        <w:rPr>
          <w:rFonts w:hint="eastAsia" w:ascii="仿宋" w:hAnsi="仿宋" w:eastAsia="仿宋" w:cs="仿宋"/>
          <w:b w:val="0"/>
          <w:bCs/>
          <w:sz w:val="28"/>
          <w:szCs w:val="28"/>
          <w:lang w:val="en-US"/>
        </w:rPr>
        <w:t>4</w:t>
      </w:r>
      <w:r>
        <w:rPr>
          <w:rFonts w:hint="eastAsia" w:ascii="仿宋" w:hAnsi="仿宋" w:eastAsia="仿宋" w:cs="仿宋"/>
          <w:b w:val="0"/>
          <w:bCs/>
          <w:sz w:val="28"/>
          <w:szCs w:val="28"/>
          <w:lang w:eastAsia="zh-CN"/>
        </w:rPr>
        <w:t>．标准</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对照“对标定级”参考标准（2022年版，见附件），重点评估2022年度团支部标准化、规范化建设和组织功能发挥情况。实行百分制赋分评定，各项指标分别赋分。对应星级参考如下：</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——五星级团支部（优秀，90分及以上），标准化、规范化建设成效显著，组织力强，示范带动作用好。</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——四星级团支部（良好，80—89分），标准化、规范化建设有较大成效，组织力有较大提升。</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——三星级团支部（一般，70—79分），标准化、规范化建设存在短板不足，组织力有所提升。</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——后进团支部（较差，60—69分），标准化、规范化建设存在较大差距，组织力较弱，发挥作用较差。</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——软弱涣散团支部（60分以下，或存在“一票否决”指标所列情况的）。</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下设团支部中有被评定为后进或软弱涣散团支部的团总支部，不得评定为五星级团总支部。</w:t>
      </w:r>
    </w:p>
    <w:p>
      <w:pPr>
        <w:pStyle w:val="3"/>
        <w:widowControl/>
        <w:spacing w:before="0" w:beforeAutospacing="0" w:after="0" w:afterAutospacing="0" w:line="560" w:lineRule="exact"/>
        <w:ind w:left="0" w:right="0" w:firstLine="560" w:firstLineChars="200"/>
        <w:rPr>
          <w:rFonts w:hint="eastAsia" w:ascii="仿宋" w:hAnsi="仿宋" w:eastAsia="仿宋" w:cs="仿宋"/>
          <w:b w:val="0"/>
          <w:bCs/>
          <w:sz w:val="28"/>
          <w:szCs w:val="28"/>
          <w:lang w:val="en-US"/>
        </w:rPr>
      </w:pPr>
      <w:r>
        <w:rPr>
          <w:rFonts w:hint="eastAsia" w:ascii="仿宋" w:hAnsi="仿宋" w:eastAsia="仿宋" w:cs="仿宋"/>
          <w:b w:val="0"/>
          <w:bCs/>
          <w:sz w:val="28"/>
          <w:szCs w:val="28"/>
          <w:lang w:val="en-US"/>
        </w:rPr>
        <w:t>5</w:t>
      </w:r>
      <w:r>
        <w:rPr>
          <w:rFonts w:hint="eastAsia" w:ascii="仿宋" w:hAnsi="仿宋" w:eastAsia="仿宋" w:cs="仿宋"/>
          <w:b w:val="0"/>
          <w:bCs/>
          <w:sz w:val="28"/>
          <w:szCs w:val="28"/>
          <w:lang w:eastAsia="zh-CN"/>
        </w:rPr>
        <w:t>．步骤</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5.1 团支部对标自评</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团支部对照参考标准，采取“五评、双签字”（评班子建设、评团员管理、评组织生活、评制度落实、评作用发挥，团支部书记、团员代表分别签字确认）的方式，确定自评结果，并在“智慧团建”系统中录入。</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5.2 基层团委复核认定</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基层团委结合团组织书记述职评议和日常掌握工作情况，对照团支部自评结果，实地采取“三必核、两必听”（核实“智慧团建”系统数据、核验必要工作资料、核查自评结果真实度，听取团支部书记述职、听取党组织和团员青年意见）的方式进行复核认定。</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基层团委复核认定应严格掌握五星级和四星级团支部数量，五星级团支部要优中选优，一般不超过团支部总数的30%；后进和软弱涣散团支部应占一定比例，防止只表扬不批评的好人主义。复核结果与团支部自评结果不一致的，应向团支部反馈存在问题，予以纠正或限期整改。复核认定后及时在“智慧团建”系统中记录。</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——基层团委开展复核前，要全面完成空壳团支部的整理整顿，否则无法在“智慧团建”系统中对下属所有团支部开展复核。基层团委“对标定级”复核率将作为评价各地基层建设工作的重要指标。</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5.3 团的领导机关和上级团委抽查评估</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县级以上团的领导机关和下设团委的基层团组织结合年度工作考核，抽检下属团组织开展“对标定级”工作情况，注意将五星级团支部比例明显过高、后进和软弱涣散团支部比例明显过低的地方作为重点。</w:t>
      </w:r>
    </w:p>
    <w:p>
      <w:pPr>
        <w:pStyle w:val="3"/>
        <w:widowControl/>
        <w:spacing w:before="0" w:beforeAutospacing="0" w:after="0" w:afterAutospacing="0" w:line="560" w:lineRule="exact"/>
        <w:ind w:left="0" w:right="0" w:firstLine="560" w:firstLineChars="200"/>
        <w:rPr>
          <w:rFonts w:hint="eastAsia" w:ascii="仿宋" w:hAnsi="仿宋" w:eastAsia="仿宋" w:cs="仿宋"/>
          <w:b w:val="0"/>
          <w:bCs/>
          <w:sz w:val="28"/>
          <w:szCs w:val="28"/>
          <w:lang w:val="en-US"/>
        </w:rPr>
      </w:pPr>
      <w:r>
        <w:rPr>
          <w:rFonts w:hint="eastAsia" w:ascii="仿宋" w:hAnsi="仿宋" w:eastAsia="仿宋" w:cs="仿宋"/>
          <w:b w:val="0"/>
          <w:bCs/>
          <w:sz w:val="28"/>
          <w:szCs w:val="28"/>
          <w:lang w:val="en-US"/>
        </w:rPr>
        <w:t>6</w:t>
      </w:r>
      <w:r>
        <w:rPr>
          <w:rFonts w:hint="eastAsia" w:ascii="仿宋" w:hAnsi="仿宋" w:eastAsia="仿宋" w:cs="仿宋"/>
          <w:b w:val="0"/>
          <w:bCs/>
          <w:sz w:val="28"/>
          <w:szCs w:val="28"/>
          <w:lang w:eastAsia="zh-CN"/>
        </w:rPr>
        <w:t>．实施</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6.1 分级负责。各级团的领导机关统筹本地区（系统）团支部“对标定级”工作。基层团（工）委严格复核认定，既不刻意拔高、也不降格以求。团支部书记负责做好自评，主动向本支部本单位团员青年公开结果。评星定级以线下开展为主，线上依托“智慧团建”同步记录，线下线上不能相互替代。</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6.2 激励约束。被评定为五星级或四星级团支部，2023年方可参评团内荣誉（如地方各级“五四红旗团支部”），被评定为五星级团支部方可参评“全国五四红旗团支部”，上级团组织也可结合实际给予其他合理激励。未部署开展“对标定级”工作的团组织及其团组织负责人，2023年不得参评团内荣誉或参加团的重大活动。落实全面从严治团要求，连续2年未开展“对标定级”或被评定为后进、软弱涣散团支部的，上级团组织应向相关党组织通报有关情况。对指导推动“对标定级”工作不力、弄虚作假的团组织及相关负责人，视情节给予组织处置或纪律处分。</w:t>
      </w:r>
    </w:p>
    <w:p>
      <w:pPr>
        <w:keepNext w:val="0"/>
        <w:keepLines w:val="0"/>
        <w:widowControl w:val="0"/>
        <w:suppressLineNumbers w:val="0"/>
        <w:spacing w:before="0" w:beforeAutospacing="0" w:after="0" w:afterAutospacing="0" w:line="560" w:lineRule="exact"/>
        <w:ind w:left="0" w:right="0" w:firstLine="640"/>
        <w:jc w:val="both"/>
        <w:rPr>
          <w:rFonts w:hint="eastAsia" w:ascii="仿宋" w:hAnsi="仿宋" w:eastAsia="仿宋" w:cs="仿宋"/>
          <w:color w:val="000000"/>
          <w:kern w:val="2"/>
          <w:sz w:val="28"/>
          <w:szCs w:val="28"/>
          <w:lang w:val="en-US" w:eastAsia="zh-CN" w:bidi="ar"/>
        </w:rPr>
        <w:sectPr>
          <w:pgSz w:w="11906" w:h="16838"/>
          <w:pgMar w:top="1985" w:right="1531" w:bottom="1985" w:left="1531" w:header="851" w:footer="992" w:gutter="0"/>
          <w:cols w:space="425" w:num="1"/>
          <w:docGrid w:type="lines" w:linePitch="312" w:charSpace="0"/>
        </w:sectPr>
      </w:pPr>
      <w:r>
        <w:rPr>
          <w:rFonts w:hint="eastAsia" w:ascii="仿宋" w:hAnsi="仿宋" w:eastAsia="仿宋" w:cs="仿宋"/>
          <w:color w:val="000000"/>
          <w:kern w:val="2"/>
          <w:sz w:val="28"/>
          <w:szCs w:val="28"/>
          <w:lang w:val="en-US" w:eastAsia="zh-CN" w:bidi="ar"/>
        </w:rPr>
        <w:t>6.3 总结报告。省级团委基层建设部门在本地区（系统）团支部“对标定级”工作完成后，将总结评估情况报团中央基层建设部，重点反映经验做法和正反两方面的典型。</w:t>
      </w:r>
    </w:p>
    <w:p>
      <w:pPr>
        <w:keepNext w:val="0"/>
        <w:keepLines w:val="0"/>
        <w:widowControl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lang w:val="en-US"/>
        </w:rPr>
      </w:pPr>
      <w:r>
        <w:rPr>
          <w:rFonts w:hint="eastAsia" w:ascii="仿宋" w:hAnsi="仿宋" w:eastAsia="仿宋" w:cs="仿宋"/>
          <w:color w:val="000000"/>
          <w:kern w:val="0"/>
          <w:sz w:val="28"/>
          <w:szCs w:val="28"/>
          <w:lang w:val="en-US" w:eastAsia="zh-CN" w:bidi="ar"/>
        </w:rPr>
        <w:t>附件3：</w:t>
      </w:r>
    </w:p>
    <w:p>
      <w:pPr>
        <w:keepNext w:val="0"/>
        <w:keepLines w:val="0"/>
        <w:widowControl/>
        <w:suppressLineNumbers w:val="0"/>
        <w:snapToGrid w:val="0"/>
        <w:spacing w:before="0" w:beforeAutospacing="0" w:after="120" w:afterLines="50" w:afterAutospacing="0"/>
        <w:ind w:left="0" w:right="0"/>
        <w:jc w:val="center"/>
        <w:rPr>
          <w:rFonts w:hint="eastAsia" w:ascii="方正小标宋简体" w:hAnsi="方正小标宋简体" w:eastAsia="方正小标宋简体" w:cs="方正小标宋简体"/>
          <w:color w:val="000000"/>
          <w:kern w:val="0"/>
          <w:sz w:val="44"/>
          <w:szCs w:val="44"/>
          <w:lang w:val="en-US"/>
        </w:rPr>
      </w:pPr>
      <w:r>
        <w:rPr>
          <w:rFonts w:hint="eastAsia" w:ascii="方正小标宋简体" w:hAnsi="方正小标宋简体" w:eastAsia="方正小标宋简体" w:cs="方正小标宋简体"/>
          <w:color w:val="000000"/>
          <w:kern w:val="0"/>
          <w:sz w:val="44"/>
          <w:szCs w:val="44"/>
          <w:lang w:val="en-US" w:eastAsia="zh-CN" w:bidi="ar"/>
        </w:rPr>
        <w:t>团（总）支部“对标定级”参考标准（2022年版）</w:t>
      </w:r>
    </w:p>
    <w:tbl>
      <w:tblPr>
        <w:tblStyle w:val="8"/>
        <w:tblW w:w="14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05"/>
        <w:gridCol w:w="2560"/>
        <w:gridCol w:w="4946"/>
        <w:gridCol w:w="5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0" w:hRule="atLeast"/>
          <w:tblHeader/>
          <w:jc w:val="center"/>
        </w:trPr>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类别分值</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对标项目</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具体指标要求</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2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jc w:val="center"/>
        </w:trPr>
        <w:tc>
          <w:tcPr>
            <w:tcW w:w="1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班子建设</w:t>
            </w: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（10分）</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1"/>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班子配备齐整</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书记（副书记、委员）配备齐整，随缺随补，按期换届；支书称职。</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（1）超过6个月没有书记或未按规定换届的，不得分；（2）超过1年未配备书记的，或超过规定期限2年未换届的，直接评定为软弱涣散团支部。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0"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1"/>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班子运转有序</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支部委员设置规范、分工明确，支委会运转正常、能发挥作用。</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团支部团员超过7人，但未成立支委会的不得分。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6" w:hRule="atLeast"/>
          <w:jc w:val="center"/>
        </w:trPr>
        <w:tc>
          <w:tcPr>
            <w:tcW w:w="1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团员管理</w:t>
            </w: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（25分）</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1"/>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团员信息完整</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（10分）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团员底数清晰，团员信息完整，团员档案完备，能联系上。</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评估是否有团员基本信息台账，核查“智慧团建”系统数据，与实际情况出入较大或严重不符、弄虚作假的，直接评定为软弱涣散团支部。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98"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1"/>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入团程序规范</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（10分）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严格按程序发展团员；无突击发展团员、不满14周岁入团等现象；规范组织入团仪式。</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（1）存在2022年新发展团员未录入“智慧团建”系统的不得分；（2）出现无发展团员编号入团、低龄入团等严重违规问题，直接评定为软弱涣散团支部。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6"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1"/>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基础团务规范</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及时规范转接团员组织关系；按时足额收缴、上缴团费。</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评估2022年接收和转出团员情况；团费实收占应收的比例。未及时开展团员组织关系转接、失联团员较多、团费收缴情况较差的不得分。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组织生活</w:t>
            </w: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（25分）</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2"/>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思想政治教育</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（10分）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按照“学习二十大、永远跟党走、奋进新征程”主题教育实践活动安排，组织专题学习会、主题团日等学习活动；每次团员参与率50%以上。</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评定为五星级或四星级团支部，全年开展专题学习应不少于4次。未开展学习二十大精神和学习建团百年重要讲话精神两个专题的，直接评定为软弱涣散团支部。（“智慧团建”系统自动判定）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1"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2"/>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组织生活会</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定期开展组织生活会，每年不少于1次，有主题有记录。团总支部书记、副书记编入一个团的支部，并参加所在支部组织生活。</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bCs/>
                <w:color w:val="000000"/>
                <w:kern w:val="2"/>
                <w:sz w:val="28"/>
                <w:szCs w:val="28"/>
                <w:lang w:val="en-US" w:eastAsia="zh-CN" w:bidi="ar"/>
              </w:rPr>
              <w:t>根据“学习二十大、永远跟党走、奋进新征程”专题组织生活会要求开展</w:t>
            </w:r>
            <w:r>
              <w:rPr>
                <w:rFonts w:hint="eastAsia" w:ascii="仿宋" w:hAnsi="仿宋" w:eastAsia="仿宋" w:cs="仿宋"/>
                <w:color w:val="000000"/>
                <w:kern w:val="2"/>
                <w:sz w:val="28"/>
                <w:szCs w:val="28"/>
                <w:lang w:val="en-US" w:eastAsia="zh-CN" w:bidi="ar"/>
              </w:rPr>
              <w:t>，应开展但</w:t>
            </w:r>
            <w:r>
              <w:rPr>
                <w:rFonts w:hint="eastAsia" w:ascii="仿宋" w:hAnsi="仿宋" w:eastAsia="仿宋" w:cs="仿宋"/>
                <w:bCs/>
                <w:color w:val="000000"/>
                <w:kern w:val="2"/>
                <w:sz w:val="28"/>
                <w:szCs w:val="28"/>
                <w:lang w:val="en-US" w:eastAsia="zh-CN" w:bidi="ar"/>
              </w:rPr>
              <w:t>未开展的直接评定为</w:t>
            </w:r>
            <w:r>
              <w:rPr>
                <w:rFonts w:hint="eastAsia" w:ascii="仿宋" w:hAnsi="仿宋" w:eastAsia="仿宋" w:cs="仿宋"/>
                <w:color w:val="000000"/>
                <w:kern w:val="2"/>
                <w:sz w:val="28"/>
                <w:szCs w:val="28"/>
                <w:lang w:val="en-US" w:eastAsia="zh-CN" w:bidi="ar"/>
              </w:rPr>
              <w:t>软弱涣散团支部。（“智慧团建”系统自动判定）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5"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2"/>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“三会两制一课”</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（10分）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团员大会一般每季度召开1次；支委会一般每月召开1次；团小组会根据需要随时召开；团员年度团籍注册工作与团员教育评议相结合，一般每年进行1次。每季度安排上1次团课。</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本年度未开展团课，或未组织团员参加上级组织开展的团课不得分；未召开团员大会的不得分；未开展主题团日的不得分。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9" w:hRule="atLeast"/>
          <w:jc w:val="center"/>
        </w:trPr>
        <w:tc>
          <w:tcPr>
            <w:tcW w:w="1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制度落实</w:t>
            </w: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（20分）</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2"/>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组织设置规范</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团支部至少有3名以上团员（含保团籍的党员）、不超过50人，隶属关系清晰；团总支部至少有2个下属团支部；规范设立、管理团小组。</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团支部团员少于3人超过半年未撤并、团支部多于50人超过半年未调整（学生团支部酌情判定）的、团总支部只有1个或没有下属团支部的不得分。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93"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2"/>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“智慧团建”应用</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团员、团组织、团干部信息完整；及时动态更新信息。</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团支部管理员超过3个月未登录使用“智慧团建”系统的、违规将非团员录入系统的不得分。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0"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2"/>
              </w:numPr>
              <w:suppressLineNumbers w:val="0"/>
              <w:snapToGrid w:val="0"/>
              <w:spacing w:before="0" w:beforeAutospacing="0" w:after="0" w:afterAutospacing="0" w:line="340" w:lineRule="exact"/>
              <w:ind w:left="0" w:right="0" w:firstLine="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团员先进性评价</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结合学习教育专题组织生活会、团员教育评议和年度团籍注册，规范开展团员先进性评。</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团员评议比例低于70%的</w:t>
            </w:r>
            <w:r>
              <w:rPr>
                <w:rFonts w:hint="eastAsia" w:ascii="仿宋" w:hAnsi="仿宋" w:eastAsia="仿宋" w:cs="仿宋"/>
                <w:bCs/>
                <w:color w:val="000000"/>
                <w:kern w:val="2"/>
                <w:sz w:val="28"/>
                <w:szCs w:val="28"/>
                <w:lang w:val="en-US" w:eastAsia="zh-CN" w:bidi="ar"/>
              </w:rPr>
              <w:t>直接评定为</w:t>
            </w:r>
            <w:r>
              <w:rPr>
                <w:rFonts w:hint="eastAsia" w:ascii="仿宋" w:hAnsi="仿宋" w:eastAsia="仿宋" w:cs="仿宋"/>
                <w:color w:val="000000"/>
                <w:kern w:val="2"/>
                <w:sz w:val="28"/>
                <w:szCs w:val="28"/>
                <w:lang w:val="en-US" w:eastAsia="zh-CN" w:bidi="ar"/>
              </w:rPr>
              <w:t>软弱涣散团支部。（“智慧团建”系统自动判定）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8"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12.规范使用团的标识（5分）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落实团旗、团徽、团歌使用管理规定要求。</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使用不规范团旗团徽，或未按规定使用团旗团徽造成不良影响的不得分。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30" w:hRule="atLeast"/>
          <w:jc w:val="center"/>
        </w:trPr>
        <w:tc>
          <w:tcPr>
            <w:tcW w:w="1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作用发挥</w:t>
            </w: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（20分）</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13.团员先进性彰显</w:t>
            </w:r>
          </w:p>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（10分）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团员全部成为注册志愿者并可查验；团员在工作、学习等方面发挥模范作用。</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团支部成员受到党纪处分、政务处分、团纪处分的不得分。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5"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14.服务中心大局成效（5分）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围绕志愿服务、济困助学、就业创业、岗位建功、实践教育等领域，形成1项以上特色品牌活动，每季度组织开展活动不少于1次。</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评估工作和活动实际效果、党组织及团员青年满意度。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85" w:hRule="atLeast"/>
          <w:jc w:val="center"/>
        </w:trPr>
        <w:tc>
          <w:tcPr>
            <w:tcW w:w="1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 w:hAnsi="仿宋" w:eastAsia="仿宋" w:cs="仿宋"/>
                <w:sz w:val="28"/>
                <w:szCs w:val="28"/>
              </w:rPr>
            </w:pP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tabs>
                <w:tab w:val="left" w:pos="312"/>
              </w:tabs>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15.加强“推优入党”</w:t>
            </w:r>
          </w:p>
          <w:p>
            <w:pPr>
              <w:keepNext w:val="0"/>
              <w:keepLines w:val="0"/>
              <w:widowControl w:val="0"/>
              <w:suppressLineNumbers w:val="0"/>
              <w:tabs>
                <w:tab w:val="left" w:pos="312"/>
              </w:tabs>
              <w:snapToGrid w:val="0"/>
              <w:spacing w:before="0" w:beforeAutospacing="0" w:after="0" w:afterAutospacing="0" w:line="34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（5分）</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40" w:lineRule="exact"/>
              <w:ind w:left="0" w:right="0"/>
              <w:jc w:val="both"/>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团支部团员申请入党人数较多，积极主动向党组织推荐优秀团员，与党组织衔接顺畅，有具体的“推优”名单。</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widowControl/>
              <w:rPr>
                <w:rFonts w:hint="eastAsia" w:ascii="仿宋" w:hAnsi="仿宋" w:eastAsia="仿宋" w:cs="仿宋"/>
                <w:color w:val="000000"/>
                <w:sz w:val="28"/>
                <w:szCs w:val="28"/>
                <w:lang w:val="en-US"/>
              </w:rPr>
            </w:pPr>
            <w:r>
              <w:rPr>
                <w:rFonts w:hint="eastAsia" w:ascii="仿宋" w:hAnsi="仿宋" w:eastAsia="仿宋" w:cs="仿宋"/>
                <w:color w:val="000000"/>
                <w:sz w:val="28"/>
                <w:szCs w:val="28"/>
              </w:rPr>
              <w:t>鼓励团员积极向党组织靠拢，有年满</w:t>
            </w:r>
            <w:r>
              <w:rPr>
                <w:rFonts w:hint="eastAsia" w:ascii="仿宋" w:hAnsi="仿宋" w:eastAsia="仿宋" w:cs="仿宋"/>
                <w:color w:val="000000"/>
                <w:sz w:val="28"/>
                <w:szCs w:val="28"/>
                <w:lang w:val="en-US"/>
              </w:rPr>
              <w:t>18</w:t>
            </w:r>
            <w:r>
              <w:rPr>
                <w:rFonts w:hint="eastAsia" w:ascii="仿宋" w:hAnsi="仿宋" w:eastAsia="仿宋" w:cs="仿宋"/>
                <w:color w:val="000000"/>
                <w:sz w:val="28"/>
                <w:szCs w:val="28"/>
              </w:rPr>
              <w:t>周岁团员的团支部中，应有已提交入党申请的团员，否则</w:t>
            </w:r>
            <w:r>
              <w:rPr>
                <w:rFonts w:hint="eastAsia" w:ascii="仿宋" w:hAnsi="仿宋" w:eastAsia="仿宋" w:cs="仿宋"/>
                <w:bCs/>
                <w:color w:val="000000"/>
                <w:kern w:val="2"/>
                <w:sz w:val="28"/>
                <w:szCs w:val="28"/>
              </w:rPr>
              <w:t>不得评定为五星级团支部</w:t>
            </w:r>
            <w:r>
              <w:rPr>
                <w:rFonts w:hint="eastAsia" w:ascii="仿宋" w:hAnsi="仿宋" w:eastAsia="仿宋" w:cs="仿宋"/>
                <w:color w:val="000000"/>
                <w:sz w:val="28"/>
                <w:szCs w:val="28"/>
              </w:rPr>
              <w:t>。（“智慧团建”系统自动判定）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jc w:val="center"/>
        </w:trPr>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自评定级</w:t>
            </w:r>
          </w:p>
        </w:tc>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     ）星级</w:t>
            </w:r>
          </w:p>
          <w:p>
            <w:pPr>
              <w:keepNext w:val="0"/>
              <w:keepLines w:val="0"/>
              <w:widowControl w:val="0"/>
              <w:suppressLineNumbers w:val="0"/>
              <w:snapToGrid w:val="0"/>
              <w:spacing w:before="0" w:beforeAutospacing="0" w:after="0" w:afterAutospacing="0" w:line="26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团（总）支部</w:t>
            </w:r>
          </w:p>
        </w:tc>
        <w:tc>
          <w:tcPr>
            <w:tcW w:w="4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上级复核</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 w:hAnsi="仿宋" w:eastAsia="仿宋" w:cs="仿宋"/>
                <w:color w:val="000000"/>
                <w:sz w:val="28"/>
                <w:szCs w:val="28"/>
                <w:lang w:val="en-US"/>
              </w:rPr>
            </w:pPr>
            <w:r>
              <w:rPr>
                <w:rFonts w:hint="eastAsia" w:ascii="仿宋" w:hAnsi="仿宋" w:eastAsia="仿宋" w:cs="仿宋"/>
                <w:color w:val="000000"/>
                <w:kern w:val="2"/>
                <w:sz w:val="28"/>
                <w:szCs w:val="28"/>
                <w:lang w:val="en-US" w:eastAsia="zh-CN" w:bidi="ar"/>
              </w:rPr>
              <w:t>（     ）星级团（总）支部</w:t>
            </w:r>
          </w:p>
        </w:tc>
      </w:tr>
    </w:tbl>
    <w:p>
      <w:pPr>
        <w:keepNext w:val="0"/>
        <w:keepLines w:val="0"/>
        <w:widowControl w:val="0"/>
        <w:suppressLineNumbers w:val="0"/>
        <w:snapToGrid w:val="0"/>
        <w:spacing w:before="120" w:beforeLines="50" w:beforeAutospacing="0" w:after="0" w:afterAutospacing="0" w:line="260" w:lineRule="exact"/>
        <w:ind w:left="0" w:right="0"/>
        <w:jc w:val="both"/>
        <w:rPr>
          <w:rFonts w:hint="eastAsia" w:ascii="仿宋" w:hAnsi="仿宋" w:eastAsia="仿宋" w:cs="仿宋"/>
          <w:color w:val="000000"/>
          <w:spacing w:val="-6"/>
          <w:sz w:val="28"/>
          <w:szCs w:val="28"/>
          <w:lang w:val="en-US"/>
        </w:rPr>
      </w:pPr>
      <w:r>
        <w:rPr>
          <w:rFonts w:hint="eastAsia" w:ascii="仿宋" w:hAnsi="仿宋" w:eastAsia="仿宋" w:cs="仿宋"/>
          <w:color w:val="000000"/>
          <w:kern w:val="2"/>
          <w:sz w:val="28"/>
          <w:szCs w:val="28"/>
          <w:lang w:val="en-US" w:eastAsia="zh-CN" w:bidi="ar"/>
        </w:rPr>
        <w:t>注：（1）因上级团组织未分配发展团员计划指标而未发展团员的，不评估第4项；中学（中职）学生支部不评估第15项</w:t>
      </w:r>
      <w:r>
        <w:rPr>
          <w:rFonts w:hint="eastAsia" w:ascii="仿宋" w:hAnsi="仿宋" w:eastAsia="仿宋" w:cs="仿宋"/>
          <w:color w:val="000000"/>
          <w:spacing w:val="-6"/>
          <w:kern w:val="2"/>
          <w:sz w:val="28"/>
          <w:szCs w:val="28"/>
          <w:lang w:val="en-US" w:eastAsia="zh-CN" w:bidi="ar"/>
        </w:rPr>
        <w:t>。</w:t>
      </w:r>
    </w:p>
    <w:p>
      <w:pPr>
        <w:keepNext w:val="0"/>
        <w:keepLines w:val="0"/>
        <w:widowControl w:val="0"/>
        <w:numPr>
          <w:ilvl w:val="0"/>
          <w:numId w:val="3"/>
        </w:numPr>
        <w:suppressLineNumbers w:val="0"/>
        <w:snapToGrid w:val="0"/>
        <w:spacing w:before="120" w:beforeLines="50" w:beforeAutospacing="0" w:after="0" w:afterAutospacing="0" w:line="260" w:lineRule="exact"/>
        <w:ind w:left="0" w:right="0" w:firstLine="536" w:firstLineChars="200"/>
        <w:jc w:val="both"/>
        <w:rPr>
          <w:rFonts w:hint="eastAsia" w:ascii="仿宋" w:hAnsi="仿宋" w:eastAsia="仿宋" w:cs="仿宋"/>
          <w:color w:val="000000"/>
          <w:spacing w:val="-6"/>
          <w:kern w:val="2"/>
          <w:sz w:val="28"/>
          <w:szCs w:val="28"/>
          <w:lang w:val="en-US" w:eastAsia="zh-CN" w:bidi="ar"/>
        </w:rPr>
        <w:sectPr>
          <w:pgSz w:w="16838" w:h="11906" w:orient="landscape"/>
          <w:pgMar w:top="1531" w:right="1984" w:bottom="1531" w:left="1984" w:header="851" w:footer="992" w:gutter="0"/>
          <w:cols w:space="0" w:num="1"/>
          <w:rtlGutter w:val="0"/>
          <w:docGrid w:type="lines" w:linePitch="315" w:charSpace="0"/>
        </w:sectPr>
      </w:pPr>
      <w:r>
        <w:rPr>
          <w:rFonts w:hint="eastAsia" w:ascii="仿宋" w:hAnsi="仿宋" w:eastAsia="仿宋" w:cs="仿宋"/>
          <w:color w:val="000000"/>
          <w:spacing w:val="-6"/>
          <w:kern w:val="2"/>
          <w:sz w:val="28"/>
          <w:szCs w:val="28"/>
          <w:lang w:val="en-US" w:eastAsia="zh-CN" w:bidi="ar"/>
        </w:rPr>
        <w:t>评估说明中涉及“直接评定为软弱涣散团支部”情形的指标为“一票否决”指标。</w:t>
      </w:r>
    </w:p>
    <w:p>
      <w:pPr>
        <w:pStyle w:val="7"/>
        <w:spacing w:line="640" w:lineRule="exact"/>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附件4：</w:t>
      </w:r>
    </w:p>
    <w:p>
      <w:pPr>
        <w:pStyle w:val="7"/>
        <w:spacing w:line="640" w:lineRule="exact"/>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共青团“学习二十大、永远跟党走、奋进</w:t>
      </w:r>
    </w:p>
    <w:p>
      <w:pPr>
        <w:pStyle w:val="7"/>
        <w:spacing w:line="640" w:lineRule="exact"/>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新征程”专题组织生活会指引</w:t>
      </w:r>
    </w:p>
    <w:p>
      <w:pPr>
        <w:ind w:firstLine="0" w:firstLineChars="0"/>
        <w:rPr>
          <w:rFonts w:hint="eastAsia" w:ascii="仿宋" w:hAnsi="仿宋" w:eastAsia="仿宋" w:cs="仿宋"/>
          <w:sz w:val="28"/>
          <w:szCs w:val="28"/>
        </w:rPr>
      </w:pPr>
    </w:p>
    <w:p>
      <w:pPr>
        <w:ind w:firstLine="640"/>
        <w:rPr>
          <w:rFonts w:hint="eastAsia" w:ascii="仿宋" w:hAnsi="仿宋" w:eastAsia="仿宋" w:cs="仿宋"/>
          <w:sz w:val="28"/>
          <w:szCs w:val="28"/>
        </w:rPr>
      </w:pPr>
      <w:r>
        <w:rPr>
          <w:rFonts w:hint="eastAsia" w:ascii="仿宋" w:hAnsi="仿宋" w:eastAsia="仿宋" w:cs="仿宋"/>
          <w:sz w:val="28"/>
          <w:szCs w:val="28"/>
        </w:rPr>
        <w:t>根据全团“学习</w:t>
      </w:r>
      <w:r>
        <w:rPr>
          <w:rFonts w:hint="eastAsia" w:ascii="仿宋" w:hAnsi="仿宋" w:eastAsia="仿宋" w:cs="仿宋"/>
          <w:color w:val="000000"/>
          <w:sz w:val="28"/>
          <w:szCs w:val="28"/>
        </w:rPr>
        <w:t>二十大、永远跟党走、奋进新征程”主题教育实践活动和《共青团中央关于全团认真学习宣传贯彻党的二十大精神的通知》要求，今年年底前，每个团支部应开展1次专题组织生活会。现制定专题组织生活</w:t>
      </w:r>
      <w:r>
        <w:rPr>
          <w:rFonts w:hint="eastAsia" w:ascii="仿宋" w:hAnsi="仿宋" w:eastAsia="仿宋" w:cs="仿宋"/>
          <w:sz w:val="28"/>
          <w:szCs w:val="28"/>
        </w:rPr>
        <w:t>会指引如下。</w:t>
      </w:r>
    </w:p>
    <w:p>
      <w:pPr>
        <w:pStyle w:val="2"/>
        <w:ind w:firstLine="640"/>
        <w:rPr>
          <w:rFonts w:hint="eastAsia" w:ascii="仿宋" w:hAnsi="仿宋" w:eastAsia="仿宋" w:cs="仿宋"/>
          <w:sz w:val="28"/>
          <w:szCs w:val="28"/>
        </w:rPr>
      </w:pPr>
      <w:r>
        <w:rPr>
          <w:rFonts w:hint="eastAsia" w:ascii="仿宋" w:hAnsi="仿宋" w:eastAsia="仿宋" w:cs="仿宋"/>
          <w:sz w:val="28"/>
          <w:szCs w:val="28"/>
        </w:rPr>
        <w:t>1. 主题</w:t>
      </w:r>
    </w:p>
    <w:p>
      <w:pPr>
        <w:ind w:firstLine="640"/>
        <w:rPr>
          <w:rFonts w:hint="eastAsia" w:ascii="仿宋" w:hAnsi="仿宋" w:eastAsia="仿宋" w:cs="仿宋"/>
          <w:sz w:val="28"/>
          <w:szCs w:val="28"/>
        </w:rPr>
      </w:pPr>
      <w:r>
        <w:rPr>
          <w:rFonts w:hint="eastAsia" w:ascii="仿宋" w:hAnsi="仿宋" w:eastAsia="仿宋" w:cs="仿宋"/>
          <w:sz w:val="28"/>
          <w:szCs w:val="28"/>
        </w:rPr>
        <w:t>学习二十大、永远跟党走、奋进新征程</w:t>
      </w:r>
    </w:p>
    <w:p>
      <w:pPr>
        <w:pStyle w:val="2"/>
        <w:ind w:firstLine="640"/>
        <w:rPr>
          <w:rFonts w:hint="eastAsia" w:ascii="仿宋" w:hAnsi="仿宋" w:eastAsia="仿宋" w:cs="仿宋"/>
          <w:sz w:val="28"/>
          <w:szCs w:val="28"/>
        </w:rPr>
      </w:pPr>
      <w:r>
        <w:rPr>
          <w:rFonts w:hint="eastAsia" w:ascii="仿宋" w:hAnsi="仿宋" w:eastAsia="仿宋" w:cs="仿宋"/>
          <w:sz w:val="28"/>
          <w:szCs w:val="28"/>
        </w:rPr>
        <w:t>2. 目标要求</w:t>
      </w:r>
    </w:p>
    <w:p>
      <w:pPr>
        <w:ind w:firstLine="640"/>
        <w:rPr>
          <w:rFonts w:hint="eastAsia" w:ascii="仿宋" w:hAnsi="仿宋" w:eastAsia="仿宋" w:cs="仿宋"/>
          <w:sz w:val="28"/>
          <w:szCs w:val="28"/>
        </w:rPr>
      </w:pPr>
      <w:r>
        <w:rPr>
          <w:rFonts w:hint="eastAsia" w:ascii="仿宋" w:hAnsi="仿宋" w:eastAsia="仿宋" w:cs="仿宋"/>
          <w:sz w:val="28"/>
          <w:szCs w:val="28"/>
        </w:rPr>
        <w:t>深入学习宣传贯彻党的二十大精神，紧密联系团员思想学习工作实际，交流学习体会、对标先进标准、查找差距不足、激发责任担当，教育引导广大团员坚定不移听党话、跟党走，以习近平总书记</w:t>
      </w:r>
      <w:r>
        <w:rPr>
          <w:rFonts w:hint="eastAsia" w:ascii="仿宋" w:hAnsi="仿宋" w:eastAsia="仿宋" w:cs="仿宋"/>
          <w:sz w:val="28"/>
          <w:szCs w:val="28"/>
          <w:lang w:val="en-US" w:eastAsia="zh-CN"/>
        </w:rPr>
        <w:t>提出的</w:t>
      </w:r>
      <w:r>
        <w:rPr>
          <w:rFonts w:hint="eastAsia" w:ascii="仿宋" w:hAnsi="仿宋" w:eastAsia="仿宋" w:cs="仿宋"/>
          <w:sz w:val="28"/>
          <w:szCs w:val="28"/>
        </w:rPr>
        <w:t>“五个模范、五个带头”为成长指引和实践要求，争做全面建设社会主义现代化国家新征程的生力军。</w:t>
      </w:r>
    </w:p>
    <w:p>
      <w:pPr>
        <w:pStyle w:val="2"/>
        <w:ind w:firstLine="640"/>
        <w:rPr>
          <w:rFonts w:hint="eastAsia" w:ascii="仿宋" w:hAnsi="仿宋" w:eastAsia="仿宋" w:cs="仿宋"/>
          <w:sz w:val="28"/>
          <w:szCs w:val="28"/>
        </w:rPr>
      </w:pPr>
      <w:r>
        <w:rPr>
          <w:rFonts w:hint="eastAsia" w:ascii="仿宋" w:hAnsi="仿宋" w:eastAsia="仿宋" w:cs="仿宋"/>
          <w:sz w:val="28"/>
          <w:szCs w:val="28"/>
        </w:rPr>
        <w:t>3. 时间安排</w:t>
      </w:r>
    </w:p>
    <w:p>
      <w:pPr>
        <w:ind w:firstLine="640"/>
        <w:rPr>
          <w:rFonts w:hint="eastAsia" w:ascii="仿宋" w:hAnsi="仿宋" w:eastAsia="仿宋" w:cs="仿宋"/>
          <w:sz w:val="28"/>
          <w:szCs w:val="28"/>
        </w:rPr>
      </w:pPr>
      <w:r>
        <w:rPr>
          <w:rFonts w:hint="eastAsia" w:ascii="仿宋" w:hAnsi="仿宋" w:eastAsia="仿宋" w:cs="仿宋"/>
          <w:sz w:val="28"/>
          <w:szCs w:val="28"/>
        </w:rPr>
        <w:t>2022年11月—12月</w:t>
      </w:r>
    </w:p>
    <w:p>
      <w:pPr>
        <w:pStyle w:val="2"/>
        <w:ind w:firstLine="640"/>
        <w:rPr>
          <w:rFonts w:hint="eastAsia" w:ascii="仿宋" w:hAnsi="仿宋" w:eastAsia="仿宋" w:cs="仿宋"/>
          <w:sz w:val="28"/>
          <w:szCs w:val="28"/>
        </w:rPr>
      </w:pPr>
      <w:r>
        <w:rPr>
          <w:rFonts w:hint="eastAsia" w:ascii="仿宋" w:hAnsi="仿宋" w:eastAsia="仿宋" w:cs="仿宋"/>
          <w:sz w:val="28"/>
          <w:szCs w:val="28"/>
        </w:rPr>
        <w:t>4. 参加范围</w:t>
      </w:r>
    </w:p>
    <w:p>
      <w:pPr>
        <w:ind w:firstLine="640"/>
        <w:rPr>
          <w:rFonts w:hint="eastAsia" w:ascii="仿宋" w:hAnsi="仿宋" w:eastAsia="仿宋" w:cs="仿宋"/>
          <w:sz w:val="28"/>
          <w:szCs w:val="28"/>
        </w:rPr>
      </w:pPr>
      <w:r>
        <w:rPr>
          <w:rFonts w:hint="eastAsia" w:ascii="仿宋" w:hAnsi="仿宋" w:eastAsia="仿宋" w:cs="仿宋"/>
          <w:sz w:val="28"/>
          <w:szCs w:val="28"/>
        </w:rPr>
        <w:t>全体共青团员（含2022年新发展团员）</w:t>
      </w:r>
    </w:p>
    <w:p>
      <w:pPr>
        <w:pStyle w:val="2"/>
        <w:ind w:firstLine="640"/>
        <w:rPr>
          <w:rFonts w:hint="eastAsia" w:ascii="仿宋" w:hAnsi="仿宋" w:eastAsia="仿宋" w:cs="仿宋"/>
          <w:sz w:val="28"/>
          <w:szCs w:val="28"/>
        </w:rPr>
      </w:pPr>
      <w:r>
        <w:rPr>
          <w:rFonts w:hint="eastAsia" w:ascii="仿宋" w:hAnsi="仿宋" w:eastAsia="仿宋" w:cs="仿宋"/>
          <w:sz w:val="28"/>
          <w:szCs w:val="28"/>
        </w:rPr>
        <w:t>5. 组织形式</w:t>
      </w:r>
    </w:p>
    <w:p>
      <w:pPr>
        <w:ind w:firstLine="640"/>
        <w:rPr>
          <w:rFonts w:hint="eastAsia" w:ascii="仿宋" w:hAnsi="仿宋" w:eastAsia="仿宋" w:cs="仿宋"/>
          <w:sz w:val="28"/>
          <w:szCs w:val="28"/>
        </w:rPr>
      </w:pPr>
      <w:r>
        <w:rPr>
          <w:rFonts w:hint="eastAsia" w:ascii="仿宋" w:hAnsi="仿宋" w:eastAsia="仿宋" w:cs="仿宋"/>
          <w:sz w:val="28"/>
          <w:szCs w:val="28"/>
        </w:rPr>
        <w:t>组织生活会原则上以团支部为单位召开，结合团员先进性评价和团员教育评议、年度团籍注册工作同步开展。</w:t>
      </w:r>
    </w:p>
    <w:p>
      <w:pPr>
        <w:pStyle w:val="2"/>
        <w:ind w:firstLine="640"/>
        <w:rPr>
          <w:rFonts w:hint="eastAsia" w:ascii="仿宋" w:hAnsi="仿宋" w:eastAsia="仿宋" w:cs="仿宋"/>
          <w:sz w:val="28"/>
          <w:szCs w:val="28"/>
        </w:rPr>
      </w:pPr>
      <w:r>
        <w:rPr>
          <w:rFonts w:hint="eastAsia" w:ascii="仿宋" w:hAnsi="仿宋" w:eastAsia="仿宋" w:cs="仿宋"/>
          <w:sz w:val="28"/>
          <w:szCs w:val="28"/>
        </w:rPr>
        <w:t>6. 主要环节</w:t>
      </w:r>
    </w:p>
    <w:p>
      <w:pPr>
        <w:ind w:firstLine="640"/>
        <w:rPr>
          <w:rFonts w:hint="eastAsia" w:ascii="仿宋" w:hAnsi="仿宋" w:eastAsia="仿宋" w:cs="仿宋"/>
          <w:bCs/>
          <w:kern w:val="0"/>
          <w:sz w:val="28"/>
          <w:szCs w:val="28"/>
        </w:rPr>
      </w:pPr>
      <w:r>
        <w:rPr>
          <w:rFonts w:hint="eastAsia" w:ascii="仿宋" w:hAnsi="仿宋" w:eastAsia="仿宋" w:cs="仿宋"/>
          <w:sz w:val="28"/>
          <w:szCs w:val="28"/>
        </w:rPr>
        <w:t xml:space="preserve">6.1 </w:t>
      </w:r>
      <w:r>
        <w:rPr>
          <w:rFonts w:hint="eastAsia" w:ascii="仿宋" w:hAnsi="仿宋" w:eastAsia="仿宋" w:cs="仿宋"/>
          <w:bCs/>
          <w:kern w:val="0"/>
          <w:sz w:val="28"/>
          <w:szCs w:val="28"/>
        </w:rPr>
        <w:t>开展会前学习</w:t>
      </w:r>
    </w:p>
    <w:p>
      <w:pPr>
        <w:ind w:firstLine="640"/>
        <w:rPr>
          <w:rFonts w:hint="eastAsia" w:ascii="仿宋" w:hAnsi="仿宋" w:eastAsia="仿宋" w:cs="仿宋"/>
          <w:sz w:val="28"/>
          <w:szCs w:val="28"/>
        </w:rPr>
      </w:pPr>
      <w:r>
        <w:rPr>
          <w:rFonts w:hint="eastAsia" w:ascii="仿宋" w:hAnsi="仿宋" w:eastAsia="仿宋" w:cs="仿宋"/>
          <w:sz w:val="28"/>
          <w:szCs w:val="28"/>
        </w:rPr>
        <w:t>采取集中学习和自学相结合的方式，组织团员重点学习以下内容：①习近平总书记在中国共产党第二十次全国代表大会开幕</w:t>
      </w:r>
      <w:r>
        <w:rPr>
          <w:rFonts w:hint="eastAsia" w:ascii="仿宋" w:hAnsi="仿宋" w:eastAsia="仿宋" w:cs="仿宋"/>
          <w:sz w:val="28"/>
          <w:szCs w:val="28"/>
          <w:lang w:val="en-US" w:eastAsia="zh-CN"/>
        </w:rPr>
        <w:t>会</w:t>
      </w:r>
      <w:r>
        <w:rPr>
          <w:rFonts w:hint="eastAsia" w:ascii="仿宋" w:hAnsi="仿宋" w:eastAsia="仿宋" w:cs="仿宋"/>
          <w:sz w:val="28"/>
          <w:szCs w:val="28"/>
        </w:rPr>
        <w:t>上的报告；②新修订的《中国共产党章程》；③习近平总书记在庆祝中国共产主义青年团成立一百周年大会上的讲话。</w:t>
      </w:r>
    </w:p>
    <w:p>
      <w:pPr>
        <w:ind w:firstLine="640"/>
        <w:rPr>
          <w:rFonts w:hint="eastAsia" w:ascii="仿宋" w:hAnsi="仿宋" w:eastAsia="仿宋" w:cs="仿宋"/>
          <w:bCs/>
          <w:kern w:val="0"/>
          <w:sz w:val="28"/>
          <w:szCs w:val="28"/>
        </w:rPr>
      </w:pPr>
      <w:r>
        <w:rPr>
          <w:rFonts w:hint="eastAsia" w:ascii="仿宋" w:hAnsi="仿宋" w:eastAsia="仿宋" w:cs="仿宋"/>
          <w:sz w:val="28"/>
          <w:szCs w:val="28"/>
        </w:rPr>
        <w:t xml:space="preserve">6.2 </w:t>
      </w:r>
      <w:r>
        <w:rPr>
          <w:rFonts w:hint="eastAsia" w:ascii="仿宋" w:hAnsi="仿宋" w:eastAsia="仿宋" w:cs="仿宋"/>
          <w:bCs/>
          <w:kern w:val="0"/>
          <w:sz w:val="28"/>
          <w:szCs w:val="28"/>
        </w:rPr>
        <w:t>查找差距不足</w:t>
      </w:r>
    </w:p>
    <w:p>
      <w:pPr>
        <w:ind w:firstLine="640"/>
        <w:rPr>
          <w:rFonts w:hint="eastAsia" w:ascii="仿宋" w:hAnsi="仿宋" w:eastAsia="仿宋" w:cs="仿宋"/>
          <w:sz w:val="28"/>
          <w:szCs w:val="28"/>
        </w:rPr>
      </w:pPr>
      <w:r>
        <w:rPr>
          <w:rFonts w:hint="eastAsia" w:ascii="仿宋" w:hAnsi="仿宋" w:eastAsia="仿宋" w:cs="仿宋"/>
          <w:sz w:val="28"/>
          <w:szCs w:val="28"/>
        </w:rPr>
        <w:t>6.2.1 团员要重点对照党的二十大确定的战略目标和重大任务，对照习近平总书记对新时代共青团员的一系列要求和希望，对照团员先进性评价标准，分享体会、查找不足、改进提高。</w:t>
      </w:r>
    </w:p>
    <w:p>
      <w:pPr>
        <w:ind w:firstLine="640"/>
        <w:rPr>
          <w:rFonts w:hint="eastAsia" w:ascii="仿宋" w:hAnsi="仿宋" w:eastAsia="仿宋" w:cs="仿宋"/>
          <w:sz w:val="28"/>
          <w:szCs w:val="28"/>
        </w:rPr>
      </w:pPr>
      <w:r>
        <w:rPr>
          <w:rFonts w:hint="eastAsia" w:ascii="仿宋" w:hAnsi="仿宋" w:eastAsia="仿宋" w:cs="仿宋"/>
          <w:sz w:val="28"/>
          <w:szCs w:val="28"/>
        </w:rPr>
        <w:t>6.2.2 不同领域团员应有所侧重：①大学生团员突出树立投身国家重大战略和到祖国最需要的地方建功立业的职业观、事业观；②中学生团员突出校准人生成长航向，树立远大理想；③机关事业单位团员突出提高理论修养、提升业务能力、狠抓工作落实、改进工作作风；④国有企业团员突出服务企业发展、参与深化改革、投身岗位建功、弘扬劳模精神和工匠精神；⑤农村团员突出服务乡村振兴、建设宜居宜业和美乡村；⑥城市社区团员突出服务基层治理、解决人民群众急难愁盼问题；⑦其他职业团员突出提升职业素养、恪守职业道德、发挥模范作用等内容。</w:t>
      </w:r>
    </w:p>
    <w:p>
      <w:pPr>
        <w:ind w:firstLine="640"/>
        <w:rPr>
          <w:rFonts w:hint="eastAsia" w:ascii="仿宋" w:hAnsi="仿宋" w:eastAsia="仿宋" w:cs="仿宋"/>
          <w:bCs/>
          <w:kern w:val="0"/>
          <w:sz w:val="28"/>
          <w:szCs w:val="28"/>
        </w:rPr>
      </w:pPr>
      <w:r>
        <w:rPr>
          <w:rFonts w:hint="eastAsia" w:ascii="仿宋" w:hAnsi="仿宋" w:eastAsia="仿宋" w:cs="仿宋"/>
          <w:bCs/>
          <w:kern w:val="0"/>
          <w:sz w:val="28"/>
          <w:szCs w:val="28"/>
        </w:rPr>
        <w:t>6.3 召开组织生活会</w:t>
      </w:r>
    </w:p>
    <w:p>
      <w:pPr>
        <w:ind w:firstLine="640"/>
        <w:rPr>
          <w:rFonts w:hint="eastAsia" w:ascii="仿宋" w:hAnsi="仿宋" w:eastAsia="仿宋" w:cs="仿宋"/>
          <w:sz w:val="28"/>
          <w:szCs w:val="28"/>
        </w:rPr>
      </w:pPr>
      <w:r>
        <w:rPr>
          <w:rFonts w:hint="eastAsia" w:ascii="仿宋" w:hAnsi="仿宋" w:eastAsia="仿宋" w:cs="仿宋"/>
          <w:sz w:val="28"/>
          <w:szCs w:val="28"/>
        </w:rPr>
        <w:t>6.3.1 一般以支部为单位召开。支部团员人数较多的，可以先以团小组为单位召开、团员交流发言，再以团支部为单位进行总结，会上只安排支部书记、委员、团小组长发言。支部团员人数较少的，可由基层团（工）委统筹，相邻相近的若干团支部联合召开。</w:t>
      </w:r>
    </w:p>
    <w:p>
      <w:pPr>
        <w:ind w:firstLine="640"/>
        <w:rPr>
          <w:rFonts w:hint="eastAsia" w:ascii="仿宋" w:hAnsi="仿宋" w:eastAsia="仿宋" w:cs="仿宋"/>
          <w:sz w:val="28"/>
          <w:szCs w:val="28"/>
        </w:rPr>
      </w:pPr>
      <w:r>
        <w:rPr>
          <w:rFonts w:hint="eastAsia" w:ascii="仿宋" w:hAnsi="仿宋" w:eastAsia="仿宋" w:cs="仿宋"/>
          <w:sz w:val="28"/>
          <w:szCs w:val="28"/>
        </w:rPr>
        <w:t>6.3.2 组织生活会实到人数应不少于支部团员总数的2/3。团员因故不能到会或流动团员较多的团支部，可采取网络会议形式开展。具备条件的会场应悬挂团旗。</w:t>
      </w:r>
    </w:p>
    <w:p>
      <w:pPr>
        <w:ind w:firstLine="640"/>
        <w:rPr>
          <w:rFonts w:hint="eastAsia" w:ascii="仿宋" w:hAnsi="仿宋" w:eastAsia="仿宋" w:cs="仿宋"/>
          <w:sz w:val="28"/>
          <w:szCs w:val="28"/>
        </w:rPr>
      </w:pPr>
      <w:r>
        <w:rPr>
          <w:rFonts w:hint="eastAsia" w:ascii="仿宋" w:hAnsi="仿宋" w:eastAsia="仿宋" w:cs="仿宋"/>
          <w:sz w:val="28"/>
          <w:szCs w:val="28"/>
        </w:rPr>
        <w:t>6.3.3 组织生活会可邀请本级党组织负责人、上级团组织负责人到会指导；大、中学校学生团支部较多的，应由学校、院系团组织负责人和班主任（辅导员）、教师党团员等参与指导。</w:t>
      </w:r>
    </w:p>
    <w:p>
      <w:pPr>
        <w:ind w:firstLine="640"/>
        <w:rPr>
          <w:rFonts w:hint="eastAsia" w:ascii="仿宋" w:hAnsi="仿宋" w:eastAsia="仿宋" w:cs="仿宋"/>
          <w:sz w:val="28"/>
          <w:szCs w:val="28"/>
        </w:rPr>
      </w:pPr>
      <w:r>
        <w:rPr>
          <w:rFonts w:hint="eastAsia" w:ascii="仿宋" w:hAnsi="仿宋" w:eastAsia="仿宋" w:cs="仿宋"/>
          <w:sz w:val="28"/>
          <w:szCs w:val="28"/>
        </w:rPr>
        <w:t>6.3.4 组织生活会应按照以下基本流程规范召开：</w:t>
      </w:r>
    </w:p>
    <w:p>
      <w:pPr>
        <w:ind w:firstLine="640"/>
        <w:rPr>
          <w:rFonts w:hint="eastAsia" w:ascii="仿宋" w:hAnsi="仿宋" w:eastAsia="仿宋" w:cs="仿宋"/>
          <w:sz w:val="28"/>
          <w:szCs w:val="28"/>
        </w:rPr>
      </w:pPr>
      <w:r>
        <w:rPr>
          <w:rFonts w:hint="eastAsia" w:ascii="仿宋" w:hAnsi="仿宋" w:eastAsia="仿宋" w:cs="仿宋"/>
          <w:sz w:val="28"/>
          <w:szCs w:val="28"/>
        </w:rPr>
        <w:t>①唱团歌；</w:t>
      </w:r>
    </w:p>
    <w:p>
      <w:pPr>
        <w:ind w:firstLine="640"/>
        <w:rPr>
          <w:rFonts w:hint="eastAsia" w:ascii="仿宋" w:hAnsi="仿宋" w:eastAsia="仿宋" w:cs="仿宋"/>
          <w:sz w:val="28"/>
          <w:szCs w:val="28"/>
        </w:rPr>
      </w:pPr>
      <w:r>
        <w:rPr>
          <w:rFonts w:hint="eastAsia" w:ascii="仿宋" w:hAnsi="仿宋" w:eastAsia="仿宋" w:cs="仿宋"/>
          <w:sz w:val="28"/>
          <w:szCs w:val="28"/>
        </w:rPr>
        <w:t>②团支部书记汇报团支部今年开展“学习二十大、永远跟党走、奋进新征程”</w:t>
      </w:r>
      <w:r>
        <w:rPr>
          <w:rFonts w:hint="eastAsia" w:ascii="仿宋" w:hAnsi="仿宋" w:eastAsia="仿宋" w:cs="仿宋"/>
          <w:sz w:val="28"/>
          <w:szCs w:val="28"/>
          <w:lang w:val="en-US" w:eastAsia="zh-CN"/>
        </w:rPr>
        <w:t>主题</w:t>
      </w:r>
      <w:r>
        <w:rPr>
          <w:rFonts w:hint="eastAsia" w:ascii="仿宋" w:hAnsi="仿宋" w:eastAsia="仿宋" w:cs="仿宋"/>
          <w:sz w:val="28"/>
          <w:szCs w:val="28"/>
        </w:rPr>
        <w:t>教育实践活动情况，特别是学习党的二十大精神情况和组织生活会准备情况，并结合团支部工作和个人实际交流体会认识；</w:t>
      </w:r>
    </w:p>
    <w:p>
      <w:pPr>
        <w:ind w:firstLine="640"/>
        <w:rPr>
          <w:rFonts w:hint="eastAsia" w:ascii="仿宋" w:hAnsi="仿宋" w:eastAsia="仿宋" w:cs="仿宋"/>
          <w:sz w:val="28"/>
          <w:szCs w:val="28"/>
        </w:rPr>
      </w:pPr>
      <w:r>
        <w:rPr>
          <w:rFonts w:hint="eastAsia" w:ascii="仿宋" w:hAnsi="仿宋" w:eastAsia="仿宋" w:cs="仿宋"/>
          <w:sz w:val="28"/>
          <w:szCs w:val="28"/>
        </w:rPr>
        <w:t>③团支部委员、其他团员依次发言，交流心得体会，分析思想道德和学习工作方面的不足及努力方向；</w:t>
      </w:r>
    </w:p>
    <w:p>
      <w:pPr>
        <w:ind w:firstLine="640"/>
        <w:rPr>
          <w:rFonts w:hint="eastAsia" w:ascii="仿宋" w:hAnsi="仿宋" w:eastAsia="仿宋" w:cs="仿宋"/>
          <w:sz w:val="28"/>
          <w:szCs w:val="28"/>
        </w:rPr>
      </w:pPr>
      <w:r>
        <w:rPr>
          <w:rFonts w:hint="eastAsia" w:ascii="仿宋" w:hAnsi="仿宋" w:eastAsia="仿宋" w:cs="仿宋"/>
          <w:sz w:val="28"/>
          <w:szCs w:val="28"/>
        </w:rPr>
        <w:t>④开展团员先进性评价民主测评投票；</w:t>
      </w:r>
    </w:p>
    <w:p>
      <w:pPr>
        <w:ind w:firstLine="640"/>
        <w:rPr>
          <w:rFonts w:hint="eastAsia" w:ascii="仿宋" w:hAnsi="仿宋" w:eastAsia="仿宋" w:cs="仿宋"/>
          <w:sz w:val="28"/>
          <w:szCs w:val="28"/>
        </w:rPr>
      </w:pPr>
      <w:r>
        <w:rPr>
          <w:rFonts w:hint="eastAsia" w:ascii="仿宋" w:hAnsi="仿宋" w:eastAsia="仿宋" w:cs="仿宋"/>
          <w:sz w:val="28"/>
          <w:szCs w:val="28"/>
        </w:rPr>
        <w:t>⑤上级团组织负责人或本级党组织负责人点评讲话；</w:t>
      </w:r>
    </w:p>
    <w:p>
      <w:pPr>
        <w:ind w:firstLine="640"/>
        <w:rPr>
          <w:rFonts w:hint="eastAsia" w:ascii="仿宋" w:hAnsi="仿宋" w:eastAsia="仿宋" w:cs="仿宋"/>
          <w:sz w:val="28"/>
          <w:szCs w:val="28"/>
        </w:rPr>
      </w:pPr>
      <w:r>
        <w:rPr>
          <w:rFonts w:hint="eastAsia" w:ascii="仿宋" w:hAnsi="仿宋" w:eastAsia="仿宋" w:cs="仿宋"/>
          <w:sz w:val="28"/>
          <w:szCs w:val="28"/>
        </w:rPr>
        <w:t>⑥重温入团誓词。</w:t>
      </w:r>
    </w:p>
    <w:p>
      <w:pPr>
        <w:ind w:firstLine="640"/>
        <w:rPr>
          <w:rFonts w:hint="eastAsia" w:ascii="仿宋" w:hAnsi="仿宋" w:eastAsia="仿宋" w:cs="仿宋"/>
          <w:sz w:val="28"/>
          <w:szCs w:val="28"/>
        </w:rPr>
      </w:pPr>
      <w:r>
        <w:rPr>
          <w:rFonts w:hint="eastAsia" w:ascii="仿宋" w:hAnsi="仿宋" w:eastAsia="仿宋" w:cs="仿宋"/>
          <w:sz w:val="28"/>
          <w:szCs w:val="28"/>
        </w:rPr>
        <w:t>6.3.5 保留团籍的党员，已参加党内专题组织生活会的，可不参加团内专题组织生活会；未参加的，应参加团内专题组织生活会。保留团籍的党员可不参加团员先进性评价和团员教育评议，自愿参加者不限。</w:t>
      </w:r>
    </w:p>
    <w:p>
      <w:pPr>
        <w:ind w:firstLine="640"/>
        <w:rPr>
          <w:rFonts w:hint="eastAsia" w:ascii="仿宋" w:hAnsi="仿宋" w:eastAsia="仿宋" w:cs="仿宋"/>
          <w:sz w:val="28"/>
          <w:szCs w:val="28"/>
        </w:rPr>
      </w:pPr>
      <w:r>
        <w:rPr>
          <w:rFonts w:hint="eastAsia" w:ascii="仿宋" w:hAnsi="仿宋" w:eastAsia="仿宋" w:cs="仿宋"/>
          <w:sz w:val="28"/>
          <w:szCs w:val="28"/>
        </w:rPr>
        <w:t>6.4 评价与结果运用</w:t>
      </w:r>
    </w:p>
    <w:p>
      <w:pPr>
        <w:ind w:firstLine="640"/>
        <w:rPr>
          <w:rFonts w:hint="eastAsia" w:ascii="仿宋" w:hAnsi="仿宋" w:eastAsia="仿宋" w:cs="仿宋"/>
          <w:sz w:val="28"/>
          <w:szCs w:val="28"/>
        </w:rPr>
      </w:pPr>
      <w:r>
        <w:rPr>
          <w:rFonts w:hint="eastAsia" w:ascii="仿宋" w:hAnsi="仿宋" w:eastAsia="仿宋" w:cs="仿宋"/>
          <w:sz w:val="28"/>
          <w:szCs w:val="28"/>
        </w:rPr>
        <w:t>6.4.1 坚持民主集中制，根据《新时代共青团员先进性评价指导大纲（试行）》，围绕“有信仰、讲政治、重品行、争先锋、守纪律”五个方面，开展团员先进性评价。团员先进性评价结果作为确定团员年度教育评议等次的主要依据。</w:t>
      </w:r>
    </w:p>
    <w:p>
      <w:pPr>
        <w:ind w:firstLine="640"/>
        <w:rPr>
          <w:rFonts w:hint="eastAsia" w:ascii="仿宋" w:hAnsi="仿宋" w:eastAsia="仿宋" w:cs="仿宋"/>
          <w:sz w:val="28"/>
          <w:szCs w:val="28"/>
        </w:rPr>
      </w:pPr>
      <w:r>
        <w:rPr>
          <w:rFonts w:hint="eastAsia" w:ascii="仿宋" w:hAnsi="仿宋" w:eastAsia="仿宋" w:cs="仿宋"/>
          <w:sz w:val="28"/>
          <w:szCs w:val="28"/>
        </w:rPr>
        <w:t>6.4.2 在以支部为单位进行民主测评的基础上，支委会按照优秀、合格、基本合格、不合格四个等次，研究提出团员的建议评议等次，报上级团委批准。</w:t>
      </w:r>
    </w:p>
    <w:p>
      <w:pPr>
        <w:ind w:firstLine="640"/>
        <w:rPr>
          <w:rFonts w:hint="eastAsia" w:ascii="仿宋" w:hAnsi="仿宋" w:eastAsia="仿宋" w:cs="仿宋"/>
          <w:sz w:val="28"/>
          <w:szCs w:val="28"/>
        </w:rPr>
      </w:pPr>
      <w:r>
        <w:rPr>
          <w:rFonts w:hint="eastAsia" w:ascii="仿宋" w:hAnsi="仿宋" w:eastAsia="仿宋" w:cs="仿宋"/>
          <w:sz w:val="28"/>
          <w:szCs w:val="28"/>
        </w:rPr>
        <w:t>6.4.3 确定评议等次，应注意“看票不唯票”，评议学生团员要防止唯分数、唯成绩。评议等次作为年度团籍注册、优秀团员和团干部评选、推优入党的重要依据。</w:t>
      </w:r>
    </w:p>
    <w:p>
      <w:pPr>
        <w:ind w:firstLine="640"/>
        <w:rPr>
          <w:rFonts w:hint="eastAsia" w:ascii="仿宋" w:hAnsi="仿宋" w:eastAsia="仿宋" w:cs="仿宋"/>
          <w:sz w:val="28"/>
          <w:szCs w:val="28"/>
        </w:rPr>
      </w:pPr>
      <w:r>
        <w:rPr>
          <w:rFonts w:hint="eastAsia" w:ascii="仿宋" w:hAnsi="仿宋" w:eastAsia="仿宋" w:cs="仿宋"/>
          <w:sz w:val="28"/>
          <w:szCs w:val="28"/>
        </w:rPr>
        <w:t>6.4.4 优秀等次团员数量应控制在参评团员人数的30%以内。触发《分领域团员先进性评价参考细则》“负面清单”情形的，年度不得评优，团组织应视情节给予组织处置或纪律处分。</w:t>
      </w:r>
    </w:p>
    <w:p>
      <w:pPr>
        <w:ind w:firstLine="640"/>
        <w:rPr>
          <w:rFonts w:hint="eastAsia" w:ascii="仿宋" w:hAnsi="仿宋" w:eastAsia="仿宋" w:cs="仿宋"/>
          <w:sz w:val="28"/>
          <w:szCs w:val="28"/>
        </w:rPr>
      </w:pPr>
      <w:r>
        <w:rPr>
          <w:rFonts w:hint="eastAsia" w:ascii="仿宋" w:hAnsi="仿宋" w:eastAsia="仿宋" w:cs="仿宋"/>
          <w:sz w:val="28"/>
          <w:szCs w:val="28"/>
        </w:rPr>
        <w:t>6.4.5 对评议等次为基本合格的团员，应由支部书记或上级团组织负责人进行谈话、教育帮助。对评议等次为不合格的团员，团组织要对其进行教育帮助，限期改正，暂缓团籍注册。处置不合格团员要严肃慎重、实事求是，做到事实清楚、理由充分，处理恰当、手续完备。</w:t>
      </w:r>
    </w:p>
    <w:p>
      <w:pPr>
        <w:pStyle w:val="2"/>
        <w:ind w:firstLine="640"/>
        <w:rPr>
          <w:rFonts w:hint="eastAsia" w:ascii="仿宋" w:hAnsi="仿宋" w:eastAsia="仿宋" w:cs="仿宋"/>
          <w:sz w:val="28"/>
          <w:szCs w:val="28"/>
        </w:rPr>
      </w:pPr>
      <w:r>
        <w:rPr>
          <w:rFonts w:hint="eastAsia" w:ascii="仿宋" w:hAnsi="仿宋" w:eastAsia="仿宋" w:cs="仿宋"/>
          <w:sz w:val="28"/>
          <w:szCs w:val="28"/>
        </w:rPr>
        <w:t>7. 实施要求</w:t>
      </w:r>
    </w:p>
    <w:p>
      <w:pPr>
        <w:ind w:firstLine="640"/>
        <w:rPr>
          <w:rFonts w:hint="eastAsia" w:ascii="仿宋" w:hAnsi="仿宋" w:eastAsia="仿宋" w:cs="仿宋"/>
          <w:sz w:val="28"/>
          <w:szCs w:val="28"/>
        </w:rPr>
      </w:pPr>
      <w:r>
        <w:rPr>
          <w:rFonts w:hint="eastAsia" w:ascii="仿宋" w:hAnsi="仿宋" w:eastAsia="仿宋" w:cs="仿宋"/>
          <w:sz w:val="28"/>
          <w:szCs w:val="28"/>
        </w:rPr>
        <w:t>7.1 分类指导。县级以上团的领导机关应在社会、学校领域各选取1个团支部，在充分准备的前提下，召开示范性组织生活会。可采取基层团干部现场观摩、视频会议等方式，强化示范带动。专、挂职团干部至少参加1个基层团支部的组织生活会。</w:t>
      </w:r>
    </w:p>
    <w:p>
      <w:pPr>
        <w:ind w:firstLine="640"/>
        <w:rPr>
          <w:rFonts w:hint="eastAsia" w:ascii="仿宋" w:hAnsi="仿宋" w:eastAsia="仿宋" w:cs="仿宋"/>
          <w:sz w:val="28"/>
          <w:szCs w:val="28"/>
        </w:rPr>
      </w:pPr>
      <w:r>
        <w:rPr>
          <w:rFonts w:hint="eastAsia" w:ascii="仿宋" w:hAnsi="仿宋" w:eastAsia="仿宋" w:cs="仿宋"/>
          <w:sz w:val="28"/>
          <w:szCs w:val="28"/>
        </w:rPr>
        <w:t>7.2 严格要求。各级团组织要高度重视，精心组织，坚决杜绝弄虚作假、抄心得、装样子、走过场等现象，切实维护团内组织生活的严肃性。</w:t>
      </w:r>
    </w:p>
    <w:p>
      <w:pPr>
        <w:ind w:firstLine="640"/>
        <w:rPr>
          <w:rFonts w:hint="eastAsia" w:ascii="仿宋" w:hAnsi="仿宋" w:eastAsia="仿宋" w:cs="仿宋"/>
          <w:sz w:val="28"/>
          <w:szCs w:val="28"/>
        </w:rPr>
      </w:pPr>
      <w:r>
        <w:rPr>
          <w:rFonts w:hint="eastAsia" w:ascii="仿宋" w:hAnsi="仿宋" w:eastAsia="仿宋" w:cs="仿宋"/>
          <w:sz w:val="28"/>
          <w:szCs w:val="28"/>
        </w:rPr>
        <w:t>7.3 创新形式。组织生活会可与主题团日等结合开展。鼓励有条件的依托团员活动室、青年之家、爱国主义教育基地、革命传统教育基地等阵地场所开展，增强现场感、仪式感、庄重感。</w:t>
      </w:r>
    </w:p>
    <w:p>
      <w:pPr>
        <w:ind w:firstLine="640"/>
        <w:rPr>
          <w:rFonts w:hint="eastAsia" w:ascii="仿宋" w:hAnsi="仿宋" w:eastAsia="仿宋" w:cs="仿宋"/>
          <w:sz w:val="28"/>
          <w:szCs w:val="28"/>
        </w:rPr>
      </w:pPr>
      <w:r>
        <w:rPr>
          <w:rFonts w:hint="eastAsia" w:ascii="仿宋" w:hAnsi="仿宋" w:eastAsia="仿宋" w:cs="仿宋"/>
          <w:sz w:val="28"/>
          <w:szCs w:val="28"/>
        </w:rPr>
        <w:t>7.4 做好记录。2022年12月31日前，组织生活会应召开完毕，做好相关材料归档。组织生活会情况和团员先进性评价、团员教育评议、年度团籍注册情况分别在“智慧团建”系统记载，并作为支部对标定级的评价内容。</w:t>
      </w:r>
    </w:p>
    <w:p>
      <w:pPr>
        <w:ind w:firstLine="0" w:firstLineChars="0"/>
        <w:rPr>
          <w:rFonts w:hint="eastAsia" w:ascii="仿宋" w:hAnsi="仿宋" w:eastAsia="仿宋" w:cs="仿宋"/>
          <w:sz w:val="28"/>
          <w:szCs w:val="28"/>
        </w:rPr>
      </w:pPr>
    </w:p>
    <w:p>
      <w:pPr>
        <w:ind w:firstLine="0" w:firstLineChars="0"/>
        <w:rPr>
          <w:rFonts w:hint="eastAsia"/>
        </w:rPr>
      </w:pPr>
    </w:p>
    <w:p>
      <w:pPr>
        <w:ind w:firstLine="0" w:firstLineChars="0"/>
        <w:rPr>
          <w:rFonts w:hint="eastAsia"/>
          <w:sz w:val="32"/>
          <w:szCs w:val="40"/>
        </w:rPr>
      </w:pPr>
    </w:p>
    <w:p>
      <w:pPr>
        <w:widowControl/>
        <w:sectPr>
          <w:pgSz w:w="11906" w:h="16838"/>
          <w:pgMar w:top="1984" w:right="1531" w:bottom="1984" w:left="1531" w:header="851" w:footer="992" w:gutter="0"/>
          <w:paperSrc/>
          <w:cols w:space="0" w:num="1"/>
          <w:rtlGutter w:val="0"/>
          <w:docGrid w:type="lines" w:linePitch="315" w:charSpace="0"/>
        </w:sectPr>
      </w:pPr>
    </w:p>
    <w:p>
      <w:pPr>
        <w:widowControl/>
        <w:sectPr>
          <w:pgSz w:w="11906" w:h="16838"/>
          <w:pgMar w:top="1984" w:right="1531" w:bottom="1984" w:left="1531" w:header="851" w:footer="992" w:gutter="0"/>
          <w:paperSrc/>
          <w:cols w:space="0" w:num="1"/>
          <w:rtlGutter w:val="0"/>
          <w:docGrid w:type="lines" w:linePitch="315" w:charSpace="0"/>
        </w:sectPr>
      </w:pPr>
      <w:r>
        <w:drawing>
          <wp:anchor distT="0" distB="0" distL="114300" distR="114300" simplePos="0" relativeHeight="251664384" behindDoc="0" locked="0" layoutInCell="1" allowOverlap="1">
            <wp:simplePos x="0" y="0"/>
            <wp:positionH relativeFrom="column">
              <wp:posOffset>-180975</wp:posOffset>
            </wp:positionH>
            <wp:positionV relativeFrom="paragraph">
              <wp:posOffset>473710</wp:posOffset>
            </wp:positionV>
            <wp:extent cx="6621780" cy="8343265"/>
            <wp:effectExtent l="0" t="0" r="7620" b="63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rcRect l="6936"/>
                    <a:stretch>
                      <a:fillRect/>
                    </a:stretch>
                  </pic:blipFill>
                  <pic:spPr>
                    <a:xfrm>
                      <a:off x="0" y="0"/>
                      <a:ext cx="6621780" cy="8343265"/>
                    </a:xfrm>
                    <a:prstGeom prst="rect">
                      <a:avLst/>
                    </a:prstGeom>
                    <a:noFill/>
                    <a:ln>
                      <a:noFill/>
                    </a:ln>
                  </pic:spPr>
                </pic:pic>
              </a:graphicData>
            </a:graphic>
          </wp:anchor>
        </w:drawing>
      </w:r>
      <w:r>
        <w:rPr>
          <w:sz w:val="21"/>
        </w:rPr>
        <mc:AlternateContent>
          <mc:Choice Requires="wps">
            <w:drawing>
              <wp:anchor distT="0" distB="0" distL="114300" distR="114300" simplePos="0" relativeHeight="251661312" behindDoc="0" locked="0" layoutInCell="1" allowOverlap="1">
                <wp:simplePos x="0" y="0"/>
                <wp:positionH relativeFrom="column">
                  <wp:posOffset>109220</wp:posOffset>
                </wp:positionH>
                <wp:positionV relativeFrom="paragraph">
                  <wp:posOffset>-138430</wp:posOffset>
                </wp:positionV>
                <wp:extent cx="936625" cy="456565"/>
                <wp:effectExtent l="0" t="0" r="8255" b="635"/>
                <wp:wrapNone/>
                <wp:docPr id="11" name="文本框 11"/>
                <wp:cNvGraphicFramePr/>
                <a:graphic xmlns:a="http://schemas.openxmlformats.org/drawingml/2006/main">
                  <a:graphicData uri="http://schemas.microsoft.com/office/word/2010/wordprocessingShape">
                    <wps:wsp>
                      <wps:cNvSpPr txBox="1"/>
                      <wps:spPr>
                        <a:xfrm>
                          <a:off x="1102995" y="1154430"/>
                          <a:ext cx="936625" cy="4565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附件5：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6pt;margin-top:-10.9pt;height:35.95pt;width:73.75pt;z-index:251661312;mso-width-relative:page;mso-height-relative:page;" fillcolor="#FFFFFF [3201]" filled="t" stroked="f" coordsize="21600,21600" o:gfxdata="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J0m9bUAAAACQEA&#10;AA8AAAAAAAAAAQAgAAAAIgAAAGRycy9kb3ducmV2LnhtbFBLAQIUABQAAAAIAIdO4kD88iZaVwIA&#10;AJwEAAAOAAAAAAAAAAEAIAAAACMBAABkcnMvZTJvRG9jLnhtbFBLBQYAAAAABgAGAFkBAADsBQAA&#10;AAA=&#10;">
                <v:fill on="t" focussize="0,0"/>
                <v:stroke on="f" weight="0.5pt"/>
                <v:imagedata o:title=""/>
                <o:lock v:ext="edit" aspectratio="f"/>
                <v:textbox>
                  <w:txbxContent>
                    <w:p>
                      <w:pP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附件5：</w:t>
                      </w:r>
                    </w:p>
                  </w:txbxContent>
                </v:textbox>
              </v:shape>
            </w:pict>
          </mc:Fallback>
        </mc:AlternateContent>
      </w:r>
    </w:p>
    <w:p>
      <w:pPr>
        <w:widowControl/>
        <w:rPr>
          <w:rFonts w:hint="default"/>
          <w:lang w:val="en-US" w:eastAsia="zh-CN"/>
        </w:rPr>
        <w:sectPr>
          <w:pgSz w:w="11906" w:h="16838"/>
          <w:pgMar w:top="1984" w:right="1531" w:bottom="1984" w:left="1531" w:header="851" w:footer="992" w:gutter="0"/>
          <w:paperSrc/>
          <w:cols w:space="0" w:num="1"/>
          <w:rtlGutter w:val="0"/>
          <w:docGrid w:type="lines" w:linePitch="315" w:charSpace="0"/>
        </w:sectPr>
      </w:pPr>
      <w:r>
        <w:drawing>
          <wp:inline distT="0" distB="0" distL="114300" distR="114300">
            <wp:extent cx="6100445" cy="8468360"/>
            <wp:effectExtent l="0" t="0" r="10795" b="508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6100445" cy="8468360"/>
                    </a:xfrm>
                    <a:prstGeom prst="rect">
                      <a:avLst/>
                    </a:prstGeom>
                    <a:noFill/>
                    <a:ln>
                      <a:noFill/>
                    </a:ln>
                  </pic:spPr>
                </pic:pic>
              </a:graphicData>
            </a:graphic>
          </wp:inline>
        </w:drawing>
      </w:r>
    </w:p>
    <w:p>
      <w:pPr>
        <w:widowControl/>
      </w:pPr>
      <w:r>
        <w:drawing>
          <wp:inline distT="0" distB="0" distL="114300" distR="114300">
            <wp:extent cx="6318250" cy="8702675"/>
            <wp:effectExtent l="0" t="0" r="6350"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6318250" cy="8702675"/>
                    </a:xfrm>
                    <a:prstGeom prst="rect">
                      <a:avLst/>
                    </a:prstGeom>
                    <a:noFill/>
                    <a:ln>
                      <a:noFill/>
                    </a:ln>
                  </pic:spPr>
                </pic:pic>
              </a:graphicData>
            </a:graphic>
          </wp:inline>
        </w:drawing>
      </w:r>
    </w:p>
    <w:p>
      <w:pPr>
        <w:widowControl/>
      </w:pPr>
      <w:r>
        <w:drawing>
          <wp:inline distT="0" distB="0" distL="114300" distR="114300">
            <wp:extent cx="6579235" cy="8677910"/>
            <wp:effectExtent l="0" t="0" r="4445" b="889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tretch>
                      <a:fillRect/>
                    </a:stretch>
                  </pic:blipFill>
                  <pic:spPr>
                    <a:xfrm>
                      <a:off x="0" y="0"/>
                      <a:ext cx="6579235" cy="8677910"/>
                    </a:xfrm>
                    <a:prstGeom prst="rect">
                      <a:avLst/>
                    </a:prstGeom>
                    <a:noFill/>
                    <a:ln>
                      <a:noFill/>
                    </a:ln>
                  </pic:spPr>
                </pic:pic>
              </a:graphicData>
            </a:graphic>
          </wp:inline>
        </w:drawing>
      </w:r>
    </w:p>
    <w:p>
      <w:pPr>
        <w:widowControl/>
      </w:pPr>
      <w:r>
        <w:drawing>
          <wp:inline distT="0" distB="0" distL="114300" distR="114300">
            <wp:extent cx="6308090" cy="3648710"/>
            <wp:effectExtent l="0" t="0" r="1270" b="889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8"/>
                    <a:stretch>
                      <a:fillRect/>
                    </a:stretch>
                  </pic:blipFill>
                  <pic:spPr>
                    <a:xfrm>
                      <a:off x="0" y="0"/>
                      <a:ext cx="6308090" cy="3648710"/>
                    </a:xfrm>
                    <a:prstGeom prst="rect">
                      <a:avLst/>
                    </a:prstGeom>
                    <a:noFill/>
                    <a:ln>
                      <a:noFill/>
                    </a:ln>
                  </pic:spPr>
                </pic:pic>
              </a:graphicData>
            </a:graphic>
          </wp:inline>
        </w:drawing>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spacing w:line="64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分领域团员先进性评价参考细则（6类）</w:t>
      </w:r>
    </w:p>
    <w:p>
      <w:pPr>
        <w:spacing w:line="640" w:lineRule="exact"/>
        <w:ind w:firstLine="0" w:firstLineChars="0"/>
        <w:jc w:val="center"/>
        <w:rPr>
          <w:rFonts w:hint="eastAsia" w:ascii="方正小标宋简体" w:hAnsi="方正小标宋简体" w:eastAsia="方正小标宋简体" w:cs="方正小标宋简体"/>
          <w:sz w:val="44"/>
          <w:szCs w:val="44"/>
        </w:rPr>
      </w:pPr>
    </w:p>
    <w:p>
      <w:pPr>
        <w:keepNext/>
        <w:keepLines/>
        <w:ind w:firstLine="640"/>
        <w:outlineLvl w:val="0"/>
        <w:rPr>
          <w:rFonts w:hint="eastAsia" w:ascii="华文仿宋" w:hAnsi="华文仿宋" w:eastAsia="华文仿宋" w:cs="华文仿宋"/>
          <w:bCs/>
          <w:kern w:val="44"/>
          <w:sz w:val="28"/>
          <w:szCs w:val="56"/>
        </w:rPr>
      </w:pPr>
      <w:r>
        <w:rPr>
          <w:rFonts w:hint="eastAsia" w:ascii="华文仿宋" w:hAnsi="华文仿宋" w:eastAsia="华文仿宋" w:cs="华文仿宋"/>
          <w:bCs/>
          <w:kern w:val="44"/>
          <w:sz w:val="28"/>
          <w:szCs w:val="56"/>
        </w:rPr>
        <w:t>操作说明：</w:t>
      </w:r>
    </w:p>
    <w:p>
      <w:pPr>
        <w:spacing w:line="520" w:lineRule="exact"/>
        <w:ind w:firstLine="640"/>
        <w:rPr>
          <w:rFonts w:hint="eastAsia" w:ascii="华文仿宋" w:hAnsi="华文仿宋" w:eastAsia="华文仿宋" w:cs="华文仿宋"/>
          <w:sz w:val="28"/>
          <w:szCs w:val="44"/>
        </w:rPr>
      </w:pPr>
      <w:r>
        <w:rPr>
          <w:rFonts w:hint="eastAsia" w:ascii="华文仿宋" w:hAnsi="华文仿宋" w:eastAsia="华文仿宋" w:cs="华文仿宋"/>
          <w:sz w:val="28"/>
          <w:szCs w:val="44"/>
        </w:rPr>
        <w:t>1．参考细则共分6个群体领域，即：初中学生团员、高中（中职）学生团员、普通高校学生团员、机关事业单位团员、国有企业团员、其他职业团员。教师团员参照机关事业单位团员细则评价。细则条目可补充，一般不做删减，保持相对稳定。</w:t>
      </w:r>
    </w:p>
    <w:p>
      <w:pPr>
        <w:spacing w:line="520" w:lineRule="exact"/>
        <w:ind w:firstLine="640"/>
        <w:rPr>
          <w:rFonts w:hint="eastAsia" w:ascii="华文仿宋" w:hAnsi="华文仿宋" w:eastAsia="华文仿宋" w:cs="华文仿宋"/>
          <w:sz w:val="28"/>
          <w:szCs w:val="44"/>
        </w:rPr>
      </w:pPr>
      <w:r>
        <w:rPr>
          <w:rFonts w:hint="eastAsia" w:ascii="华文仿宋" w:hAnsi="华文仿宋" w:eastAsia="华文仿宋" w:cs="华文仿宋"/>
          <w:sz w:val="28"/>
          <w:szCs w:val="44"/>
        </w:rPr>
        <w:t>2．实行百分制赋分评价。各级团组织结合工作实际和团员群体实际，明确各项对应分值。</w:t>
      </w:r>
    </w:p>
    <w:p>
      <w:pPr>
        <w:spacing w:line="520" w:lineRule="exact"/>
        <w:ind w:firstLine="640"/>
        <w:rPr>
          <w:rFonts w:hint="eastAsia" w:ascii="华文仿宋" w:hAnsi="华文仿宋" w:eastAsia="华文仿宋" w:cs="华文仿宋"/>
          <w:sz w:val="28"/>
          <w:szCs w:val="44"/>
        </w:rPr>
      </w:pPr>
      <w:r>
        <w:rPr>
          <w:rFonts w:hint="eastAsia" w:ascii="华文仿宋" w:hAnsi="华文仿宋" w:eastAsia="华文仿宋" w:cs="华文仿宋"/>
          <w:sz w:val="28"/>
          <w:szCs w:val="44"/>
        </w:rPr>
        <w:t>（1）状态评价（是/否）。“是”表示符合要求、该项得满分，“否”表示不符合要求、该项不得分。</w:t>
      </w:r>
    </w:p>
    <w:p>
      <w:pPr>
        <w:spacing w:line="520" w:lineRule="exact"/>
        <w:ind w:firstLine="640"/>
        <w:rPr>
          <w:rFonts w:hint="eastAsia" w:ascii="华文仿宋" w:hAnsi="华文仿宋" w:eastAsia="华文仿宋" w:cs="华文仿宋"/>
          <w:sz w:val="28"/>
          <w:szCs w:val="44"/>
        </w:rPr>
      </w:pPr>
      <w:r>
        <w:rPr>
          <w:rFonts w:hint="eastAsia" w:ascii="华文仿宋" w:hAnsi="华文仿宋" w:eastAsia="华文仿宋" w:cs="华文仿宋"/>
          <w:sz w:val="28"/>
          <w:szCs w:val="44"/>
        </w:rPr>
        <w:t>（2）程度评价（ABCD）。A表示“好”、该项得满分，B表示“较好”、得该项满分的60%，C表示“一般”、得该项满分的40%，D表示“差”、该项不得分。如，单项分值满分为5分，则ABCD分别对应5分、3分、2分、0分。</w:t>
      </w:r>
    </w:p>
    <w:p>
      <w:pPr>
        <w:spacing w:line="520" w:lineRule="exact"/>
        <w:ind w:firstLine="640"/>
        <w:rPr>
          <w:rFonts w:hint="eastAsia" w:ascii="华文仿宋" w:hAnsi="华文仿宋" w:eastAsia="华文仿宋" w:cs="华文仿宋"/>
          <w:sz w:val="28"/>
          <w:szCs w:val="44"/>
        </w:rPr>
      </w:pPr>
      <w:r>
        <w:rPr>
          <w:rFonts w:hint="eastAsia" w:ascii="华文仿宋" w:hAnsi="华文仿宋" w:eastAsia="华文仿宋" w:cs="华文仿宋"/>
          <w:sz w:val="28"/>
          <w:szCs w:val="44"/>
        </w:rPr>
        <w:t>团员在某一方面或“急难险重新”任务中表现特别突出、有较强示范引领作用的（如创新创造、抢险救援、见义勇为等），可视情况额外加分。</w:t>
      </w:r>
    </w:p>
    <w:p>
      <w:pPr>
        <w:spacing w:line="520" w:lineRule="exact"/>
        <w:ind w:firstLine="640"/>
        <w:rPr>
          <w:rFonts w:hint="eastAsia" w:ascii="华文仿宋" w:hAnsi="华文仿宋" w:eastAsia="华文仿宋" w:cs="华文仿宋"/>
          <w:bCs/>
          <w:sz w:val="28"/>
          <w:szCs w:val="44"/>
        </w:rPr>
      </w:pPr>
      <w:r>
        <w:rPr>
          <w:rFonts w:hint="eastAsia" w:ascii="华文仿宋" w:hAnsi="华文仿宋" w:eastAsia="华文仿宋" w:cs="华文仿宋"/>
          <w:sz w:val="28"/>
          <w:szCs w:val="44"/>
        </w:rPr>
        <w:t>3．标注“※”的为“负面清单”项，相关项评价结果为“否”或“D”的，为触发“负面清单”情形。标注“▲”的同时作为入团评价参考细则。</w:t>
      </w:r>
    </w:p>
    <w:p>
      <w:pPr>
        <w:widowControl/>
      </w:pPr>
    </w:p>
    <w:p>
      <w:pPr>
        <w:widowControl/>
      </w:pPr>
    </w:p>
    <w:p>
      <w:pPr>
        <w:widowControl/>
      </w:pPr>
    </w:p>
    <w:p>
      <w:pPr>
        <w:widowControl/>
      </w:pPr>
    </w:p>
    <w:p>
      <w:pPr>
        <w:widowControl/>
        <w:sectPr>
          <w:pgSz w:w="11906" w:h="16838"/>
          <w:pgMar w:top="1984" w:right="1531" w:bottom="1984" w:left="1531" w:header="851" w:footer="992" w:gutter="0"/>
          <w:cols w:space="0" w:num="1"/>
          <w:rtlGutter w:val="0"/>
          <w:docGrid w:type="lines" w:linePitch="315" w:charSpace="0"/>
        </w:sectPr>
      </w:pPr>
    </w:p>
    <w:p>
      <w:pPr>
        <w:widowControl/>
        <w:sectPr>
          <w:pgSz w:w="11906" w:h="16838"/>
          <w:pgMar w:top="1984" w:right="1531" w:bottom="1984" w:left="1531" w:header="851" w:footer="992" w:gutter="0"/>
          <w:cols w:space="0" w:num="1"/>
          <w:rtlGutter w:val="0"/>
          <w:docGrid w:type="lines" w:linePitch="315" w:charSpace="0"/>
        </w:sectPr>
      </w:pPr>
      <w:r>
        <w:drawing>
          <wp:anchor distT="0" distB="0" distL="114300" distR="114300" simplePos="0" relativeHeight="251663360" behindDoc="0" locked="0" layoutInCell="1" allowOverlap="1">
            <wp:simplePos x="0" y="0"/>
            <wp:positionH relativeFrom="column">
              <wp:posOffset>-667385</wp:posOffset>
            </wp:positionH>
            <wp:positionV relativeFrom="paragraph">
              <wp:posOffset>-259715</wp:posOffset>
            </wp:positionV>
            <wp:extent cx="6932295" cy="8992235"/>
            <wp:effectExtent l="0" t="0" r="1905" b="18415"/>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6932295" cy="8992235"/>
                    </a:xfrm>
                    <a:prstGeom prst="rect">
                      <a:avLst/>
                    </a:prstGeom>
                    <a:noFill/>
                    <a:ln>
                      <a:noFill/>
                    </a:ln>
                  </pic:spPr>
                </pic:pic>
              </a:graphicData>
            </a:graphic>
          </wp:anchor>
        </w:drawing>
      </w:r>
    </w:p>
    <w:p>
      <w:pPr>
        <w:widowControl/>
        <w:rPr>
          <w:rFonts w:hint="default"/>
          <w:lang w:val="en-US" w:eastAsia="zh-CN"/>
        </w:rPr>
      </w:pPr>
      <w:r>
        <w:drawing>
          <wp:inline distT="0" distB="0" distL="114300" distR="114300">
            <wp:extent cx="6714490" cy="8430260"/>
            <wp:effectExtent l="0" t="0" r="10160"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stretch>
                      <a:fillRect/>
                    </a:stretch>
                  </pic:blipFill>
                  <pic:spPr>
                    <a:xfrm>
                      <a:off x="0" y="0"/>
                      <a:ext cx="6714490" cy="8430260"/>
                    </a:xfrm>
                    <a:prstGeom prst="rect">
                      <a:avLst/>
                    </a:prstGeom>
                    <a:noFill/>
                    <a:ln>
                      <a:noFill/>
                    </a:ln>
                  </pic:spPr>
                </pic:pic>
              </a:graphicData>
            </a:graphic>
          </wp:inline>
        </w:drawing>
      </w:r>
    </w:p>
    <w:sectPr>
      <w:pgSz w:w="11906" w:h="16838"/>
      <w:pgMar w:top="1984" w:right="1531" w:bottom="1984" w:left="1531" w:header="851" w:footer="992" w:gutter="0"/>
      <w:paperSrc/>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Light">
    <w:panose1 w:val="02010600030101010101"/>
    <w:charset w:val="86"/>
    <w:family w:val="auto"/>
    <w:pitch w:val="default"/>
    <w:sig w:usb0="A00002BF" w:usb1="38CF7CFA" w:usb2="00000016" w:usb3="00000000" w:csb0="0004000F" w:csb1="00000000"/>
  </w:font>
  <w:font w:name="方正大标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微软雅黑"/>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F26EB"/>
    <w:multiLevelType w:val="multilevel"/>
    <w:tmpl w:val="2F5F26EB"/>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3D00CD87"/>
    <w:multiLevelType w:val="singleLevel"/>
    <w:tmpl w:val="3D00CD87"/>
    <w:lvl w:ilvl="0" w:tentative="0">
      <w:start w:val="2"/>
      <w:numFmt w:val="decimal"/>
      <w:suff w:val="nothing"/>
      <w:lvlText w:val="（%1）"/>
      <w:lvlJc w:val="left"/>
    </w:lvl>
  </w:abstractNum>
  <w:abstractNum w:abstractNumId="2">
    <w:nsid w:val="77E1FEA2"/>
    <w:multiLevelType w:val="multilevel"/>
    <w:tmpl w:val="77E1FEA2"/>
    <w:lvl w:ilvl="0" w:tentative="0">
      <w:start w:val="6"/>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MWRhMjA5Y2M1NTI5YTAwODZhYmViNDkzNzAwM2UifQ=="/>
  </w:docVars>
  <w:rsids>
    <w:rsidRoot w:val="35975EBB"/>
    <w:rsid w:val="05087233"/>
    <w:rsid w:val="08C305F9"/>
    <w:rsid w:val="0BFA26B2"/>
    <w:rsid w:val="0C664EE3"/>
    <w:rsid w:val="0CC61B42"/>
    <w:rsid w:val="128F2D41"/>
    <w:rsid w:val="16B74615"/>
    <w:rsid w:val="1B560502"/>
    <w:rsid w:val="27D05E31"/>
    <w:rsid w:val="2AFB388C"/>
    <w:rsid w:val="2B457FE9"/>
    <w:rsid w:val="2C031565"/>
    <w:rsid w:val="2E2C5853"/>
    <w:rsid w:val="2E545690"/>
    <w:rsid w:val="2E5A0250"/>
    <w:rsid w:val="2E8C06A5"/>
    <w:rsid w:val="31181CFC"/>
    <w:rsid w:val="34CE703F"/>
    <w:rsid w:val="35975EBB"/>
    <w:rsid w:val="35D35B66"/>
    <w:rsid w:val="36503F3D"/>
    <w:rsid w:val="39DA36F6"/>
    <w:rsid w:val="3C17274B"/>
    <w:rsid w:val="3E043D34"/>
    <w:rsid w:val="41676AB4"/>
    <w:rsid w:val="41AA2C46"/>
    <w:rsid w:val="42433E4F"/>
    <w:rsid w:val="44D63296"/>
    <w:rsid w:val="458044F8"/>
    <w:rsid w:val="468C3930"/>
    <w:rsid w:val="47734E85"/>
    <w:rsid w:val="48E94252"/>
    <w:rsid w:val="4A0330F2"/>
    <w:rsid w:val="4AF35706"/>
    <w:rsid w:val="527745FF"/>
    <w:rsid w:val="55794BB0"/>
    <w:rsid w:val="57F30C49"/>
    <w:rsid w:val="60002155"/>
    <w:rsid w:val="61007DB9"/>
    <w:rsid w:val="63EF38D8"/>
    <w:rsid w:val="642E2873"/>
    <w:rsid w:val="661234BC"/>
    <w:rsid w:val="6B257EED"/>
    <w:rsid w:val="6D592EA5"/>
    <w:rsid w:val="6DD848D7"/>
    <w:rsid w:val="79AE2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outlineLvl w:val="0"/>
    </w:pPr>
    <w:rPr>
      <w:rFonts w:eastAsia="方正黑体简体"/>
      <w:bCs/>
      <w:kern w:val="44"/>
      <w:szCs w:val="44"/>
    </w:rPr>
  </w:style>
  <w:style w:type="paragraph" w:styleId="3">
    <w:name w:val="heading 2"/>
    <w:basedOn w:val="1"/>
    <w:next w:val="1"/>
    <w:link w:val="14"/>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eastAsia" w:ascii="等线 Light" w:hAnsi="等线 Light" w:eastAsia="等线 Light" w:cs="等线 Light"/>
      <w:b/>
      <w:bCs/>
      <w:kern w:val="2"/>
      <w:sz w:val="32"/>
      <w:szCs w:val="32"/>
      <w:lang w:val="en-US" w:eastAsia="zh-CN" w:bidi="ar"/>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jc w:val="left"/>
    </w:pPr>
    <w:rPr>
      <w:sz w:val="18"/>
    </w:rPr>
  </w:style>
  <w:style w:type="paragraph" w:styleId="5">
    <w:name w:val="header"/>
    <w:basedOn w:val="1"/>
    <w:link w:val="1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keepNext w:val="0"/>
      <w:keepLines w:val="0"/>
      <w:widowControl/>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7">
    <w:name w:val="Title"/>
    <w:basedOn w:val="1"/>
    <w:next w:val="1"/>
    <w:link w:val="13"/>
    <w:qFormat/>
    <w:uiPriority w:val="0"/>
    <w:pPr>
      <w:keepNext w:val="0"/>
      <w:keepLines w:val="0"/>
      <w:widowControl w:val="0"/>
      <w:suppressLineNumbers w:val="0"/>
      <w:spacing w:before="0" w:beforeAutospacing="0" w:after="0" w:afterAutospacing="0" w:line="520" w:lineRule="exact"/>
      <w:ind w:left="0" w:right="0"/>
      <w:jc w:val="center"/>
      <w:outlineLvl w:val="0"/>
    </w:pPr>
    <w:rPr>
      <w:rFonts w:hint="eastAsia" w:ascii="方正大标宋简体" w:hAnsi="方正大标宋简体" w:eastAsia="方正大标宋简体" w:cs="Times New Roman"/>
      <w:bCs/>
      <w:kern w:val="2"/>
      <w:sz w:val="44"/>
      <w:szCs w:val="32"/>
      <w:lang w:val="en-US" w:eastAsia="zh-CN" w:bidi="ar"/>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 w:type="character" w:customStyle="1" w:styleId="13">
    <w:name w:val="标题 字符"/>
    <w:basedOn w:val="10"/>
    <w:link w:val="7"/>
    <w:qFormat/>
    <w:uiPriority w:val="0"/>
    <w:rPr>
      <w:rFonts w:hint="eastAsia" w:ascii="方正大标宋简体" w:hAnsi="方正大标宋简体" w:eastAsia="方正大标宋简体" w:cs="方正大标宋简体"/>
      <w:bCs/>
      <w:kern w:val="2"/>
      <w:sz w:val="44"/>
      <w:szCs w:val="32"/>
    </w:rPr>
  </w:style>
  <w:style w:type="character" w:customStyle="1" w:styleId="14">
    <w:name w:val="标题 2 字符"/>
    <w:basedOn w:val="10"/>
    <w:link w:val="3"/>
    <w:qFormat/>
    <w:uiPriority w:val="0"/>
    <w:rPr>
      <w:rFonts w:hint="eastAsia" w:ascii="等线 Light" w:hAnsi="等线 Light" w:eastAsia="等线 Light" w:cs="等线 Light"/>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7830</Words>
  <Characters>8120</Characters>
  <Lines>0</Lines>
  <Paragraphs>0</Paragraphs>
  <TotalTime>1</TotalTime>
  <ScaleCrop>false</ScaleCrop>
  <LinksUpToDate>false</LinksUpToDate>
  <CharactersWithSpaces>8269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2022-12-01T05:52:00Z</dcterms:created>
  <dc:creator>微信用户</dc:creator>
  <cp:lastModifiedBy>Administrator</cp:lastModifiedBy>
  <cp:lastPrinted>2022-12-08T08:57:00Z</cp:lastPrinted>
  <dcterms:modified xsi:type="dcterms:W3CDTF">2022-12-09T02:43:03Z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7ABAF31F02E14767B2DA1E67FC057097</vt:lpwstr>
  </property>
</Properties>
</file>